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800"/>
        <w:jc w:val="center"/>
      </w:pPr>
      <w:r>
        <w:rPr>
          <w:rFonts w:ascii="Aptos" w:hAnsi="Aptos"/>
          <w:b/>
          <w:i w:val="0"/>
          <w:color w:val="0B1F3A"/>
          <w:sz w:val="48"/>
        </w:rPr>
        <w:t>PROFESSIONAL ECONOMIC AND FINANCIAL</w:t>
        <w:br/>
        <w:t>PRE-FEASIBILITY REPORT</w:t>
      </w:r>
    </w:p>
    <w:p>
      <w:pPr>
        <w:jc w:val="center"/>
      </w:pPr>
      <w:r>
        <w:rPr>
          <w:rFonts w:ascii="Aptos" w:hAnsi="Aptos"/>
          <w:b/>
          <w:i w:val="0"/>
          <w:color w:val="C5A253"/>
          <w:sz w:val="44"/>
        </w:rPr>
        <w:t>EXTRUDED BALANCED</w:t>
        <w:br/>
        <w:t>PROTEIN FOODS PLANT</w:t>
      </w:r>
    </w:p>
    <w:p>
      <w:pPr>
        <w:spacing w:before="480"/>
        <w:jc w:val="center"/>
      </w:pPr>
      <w:r>
        <w:rPr>
          <w:rFonts w:ascii="Aptos" w:hAnsi="Aptos"/>
          <w:b/>
          <w:i w:val="0"/>
          <w:color w:val="244C66"/>
          <w:sz w:val="28"/>
        </w:rPr>
        <w:t>Company under formation</w:t>
        <w:br/>
        <w:t>“LABORATORY OF THE WORLD FOODS &amp; NUTRITION S.A.”</w:t>
      </w:r>
    </w:p>
    <w:p>
      <w:pPr>
        <w:spacing w:before="840"/>
        <w:jc w:val="center"/>
      </w:pPr>
      <w:r>
        <w:rPr>
          <w:rFonts w:ascii="Aptos" w:hAnsi="Aptos"/>
          <w:b w:val="0"/>
          <w:i w:val="0"/>
          <w:color w:val="5B6670"/>
          <w:sz w:val="22"/>
        </w:rPr>
        <w:t>Argentina | Modular strategy: 30,000 → 65,000 metric tons/year</w:t>
        <w:br/>
        <w:t>Regional comparison: Greater Rosario · Córdoba · Tucumán</w:t>
      </w:r>
    </w:p>
    <w:p>
      <w:pPr>
        <w:spacing w:before="1200"/>
        <w:jc w:val="center"/>
      </w:pPr>
      <w:r>
        <w:rPr>
          <w:rFonts w:ascii="Aptos" w:hAnsi="Aptos"/>
          <w:b/>
          <w:i w:val="0"/>
          <w:color w:val="0B1F3A"/>
          <w:sz w:val="22"/>
        </w:rPr>
        <w:t>Personalized for Ruperto Bravo Benavente</w:t>
      </w:r>
    </w:p>
    <w:p>
      <w:pPr>
        <w:jc w:val="center"/>
      </w:pPr>
      <w:r>
        <w:rPr>
          <w:rFonts w:ascii="Aptos" w:hAnsi="Aptos"/>
          <w:b w:val="0"/>
          <w:i w:val="0"/>
          <w:color w:val="5B6670"/>
          <w:sz w:val="19"/>
        </w:rPr>
        <w:t>Updated September 2026 | US English edition</w:t>
      </w:r>
    </w:p>
    <w:p>
      <w:r>
        <w:br w:type="page"/>
      </w:r>
    </w:p>
    <w:p>
      <w:pPr>
        <w:spacing w:after="60"/>
      </w:pPr>
      <w:r>
        <w:rPr>
          <w:rFonts w:ascii="Aptos" w:hAnsi="Aptos"/>
          <w:b/>
          <w:i w:val="0"/>
          <w:color w:val="C5A253"/>
          <w:sz w:val="17"/>
        </w:rPr>
        <w:t>SCOPE</w:t>
      </w:r>
    </w:p>
    <w:p>
      <w:pPr>
        <w:spacing w:after="200"/>
      </w:pPr>
      <w:r>
        <w:rPr>
          <w:rFonts w:ascii="Aptos" w:hAnsi="Aptos"/>
          <w:b/>
          <w:i w:val="0"/>
          <w:color w:val="0B1F3A"/>
          <w:sz w:val="40"/>
        </w:rPr>
        <w:t>Professional Notice and Scope</w:t>
      </w:r>
    </w:p>
    <w:tbl>
      <w:tblPr>
        <w:tblW w:type="auto" w:w="0"/>
        <w:tblLook w:firstColumn="1" w:firstRow="1" w:lastColumn="0" w:lastRow="0" w:noHBand="0" w:noVBand="1" w:val="04A0"/>
      </w:tblPr>
      <w:tblGrid>
        <w:gridCol w:w="9468"/>
      </w:tblGrid>
      <w:tr>
        <w:tc>
          <w:tcPr>
            <w:tcW w:type="dxa" w:w="9468"/>
            <w:shd w:fill="F7F3E8"/>
          </w:tcPr>
          <w:p>
            <w:r/>
            <w:r>
              <w:rPr>
                <w:rFonts w:ascii="Aptos" w:hAnsi="Aptos"/>
                <w:b/>
                <w:i w:val="0"/>
                <w:color w:val="C5A253"/>
                <w:sz w:val="20"/>
              </w:rPr>
              <w:t>PURPOSE</w:t>
              <w:br/>
            </w:r>
            <w:r>
              <w:rPr>
                <w:rFonts w:ascii="Aptos" w:hAnsi="Aptos"/>
                <w:b w:val="0"/>
                <w:i w:val="0"/>
                <w:color w:val="1E252B"/>
                <w:sz w:val="19"/>
              </w:rPr>
              <w:t>This document is an investment pre-feasibility study. It is not basic or detailed engineering, a binding quotation, appraisal, sanitary opinion, or tax advice. Values must be confirmed through supplier RFQs, supply and offtake contracts, site studies, utility letters, logistics analysis, and permits.</w:t>
            </w:r>
          </w:p>
        </w:tc>
      </w:tr>
    </w:tbl>
    <w:p/>
    <w:p>
      <w:pPr>
        <w:spacing w:after="120" w:line="271" w:lineRule="auto"/>
        <w:jc w:val="both"/>
      </w:pPr>
      <w:r>
        <w:rPr>
          <w:rFonts w:ascii="Aptos" w:hAnsi="Aptos"/>
          <w:b w:val="0"/>
          <w:i w:val="0"/>
          <w:color w:val="1E252B"/>
          <w:sz w:val="20"/>
        </w:rPr>
        <w:t>The starting source is the 2020 Extruded Balanced Feed Plant Project. Its business vision, proposed product families, and final scale have been retained. The former single-stage plant with a privately owned Paraná River port has been replaced by a modular development that uses existing logistics infrastructure. Financial amounts are stated in constant 2026 US dollars, excluding VAT and financing unless noted.</w:t>
      </w:r>
    </w:p>
    <w:tbl>
      <w:tblPr>
        <w:tblW w:type="auto" w:w="0"/>
        <w:jc w:val="center"/>
        <w:tblLayout w:type="fixed"/>
        <w:tblLook w:firstColumn="1" w:firstRow="1" w:lastColumn="0" w:lastRow="0" w:noHBand="0" w:noVBand="1" w:val="04A0"/>
      </w:tblPr>
      <w:tblGrid>
        <w:gridCol w:w="3156"/>
        <w:gridCol w:w="3156"/>
        <w:gridCol w:w="3156"/>
      </w:tblGrid>
      <w:tr>
        <w:tc>
          <w:tcPr>
            <w:tcW w:type="dxa" w:w="1701"/>
            <w:shd w:fill="0B1F3A"/>
          </w:tcPr>
          <w:p>
            <w:pPr>
              <w:spacing w:after="0"/>
            </w:pPr>
            <w:r/>
            <w:r>
              <w:rPr>
                <w:rFonts w:ascii="Aptos" w:hAnsi="Aptos"/>
                <w:b/>
                <w:i w:val="0"/>
                <w:color w:val="FFFFFF"/>
                <w:sz w:val="16"/>
              </w:rPr>
              <w:t>Workstream</w:t>
            </w:r>
          </w:p>
        </w:tc>
        <w:tc>
          <w:tcPr>
            <w:tcW w:type="dxa" w:w="3855"/>
            <w:shd w:fill="0B1F3A"/>
          </w:tcPr>
          <w:p>
            <w:pPr>
              <w:spacing w:after="0"/>
            </w:pPr>
            <w:r/>
            <w:r>
              <w:rPr>
                <w:rFonts w:ascii="Aptos" w:hAnsi="Aptos"/>
                <w:b/>
                <w:i w:val="0"/>
                <w:color w:val="FFFFFF"/>
                <w:sz w:val="16"/>
              </w:rPr>
              <w:t>Appropriate use</w:t>
            </w:r>
          </w:p>
        </w:tc>
        <w:tc>
          <w:tcPr>
            <w:tcW w:type="dxa" w:w="3855"/>
            <w:shd w:fill="0B1F3A"/>
          </w:tcPr>
          <w:p>
            <w:pPr>
              <w:spacing w:after="0"/>
            </w:pPr>
            <w:r/>
            <w:r>
              <w:rPr>
                <w:rFonts w:ascii="Aptos" w:hAnsi="Aptos"/>
                <w:b/>
                <w:i w:val="0"/>
                <w:color w:val="FFFFFF"/>
                <w:sz w:val="16"/>
              </w:rPr>
              <w:t>Limitation</w:t>
            </w:r>
          </w:p>
        </w:tc>
      </w:tr>
      <w:tr>
        <w:tc>
          <w:tcPr>
            <w:tcW w:type="dxa" w:w="1701"/>
            <w:shd w:fill="FFFFFF"/>
          </w:tcPr>
          <w:p>
            <w:pPr>
              <w:spacing w:after="0"/>
            </w:pPr>
            <w:r/>
            <w:r>
              <w:rPr>
                <w:rFonts w:ascii="Aptos" w:hAnsi="Aptos"/>
                <w:b w:val="0"/>
                <w:i w:val="0"/>
                <w:color w:val="1E252B"/>
                <w:sz w:val="16"/>
              </w:rPr>
              <w:t>Market</w:t>
            </w:r>
          </w:p>
        </w:tc>
        <w:tc>
          <w:tcPr>
            <w:tcW w:type="dxa" w:w="3855"/>
            <w:shd w:fill="FFFFFF"/>
          </w:tcPr>
          <w:p>
            <w:pPr>
              <w:spacing w:after="0"/>
            </w:pPr>
            <w:r/>
            <w:r>
              <w:rPr>
                <w:rFonts w:ascii="Aptos" w:hAnsi="Aptos"/>
                <w:b w:val="0"/>
                <w:i w:val="0"/>
                <w:color w:val="1E252B"/>
                <w:sz w:val="16"/>
              </w:rPr>
              <w:t>Size the opportunity and prioritize segments.</w:t>
            </w:r>
          </w:p>
        </w:tc>
        <w:tc>
          <w:tcPr>
            <w:tcW w:type="dxa" w:w="3855"/>
            <w:shd w:fill="FFFFFF"/>
          </w:tcPr>
          <w:p>
            <w:pPr>
              <w:spacing w:after="0"/>
            </w:pPr>
            <w:r/>
            <w:r>
              <w:rPr>
                <w:rFonts w:ascii="Aptos" w:hAnsi="Aptos"/>
                <w:b w:val="0"/>
                <w:i w:val="0"/>
                <w:color w:val="1E252B"/>
                <w:sz w:val="16"/>
              </w:rPr>
              <w:t>Does not replace customer interviews or letters of intent.</w:t>
            </w:r>
          </w:p>
        </w:tc>
      </w:tr>
      <w:tr>
        <w:tc>
          <w:tcPr>
            <w:tcW w:type="dxa" w:w="1701"/>
            <w:shd w:fill="F3F6F8"/>
          </w:tcPr>
          <w:p>
            <w:pPr>
              <w:spacing w:after="0"/>
            </w:pPr>
            <w:r/>
            <w:r>
              <w:rPr>
                <w:rFonts w:ascii="Aptos" w:hAnsi="Aptos"/>
                <w:b w:val="0"/>
                <w:i w:val="0"/>
                <w:color w:val="1E252B"/>
                <w:sz w:val="16"/>
              </w:rPr>
              <w:t>Technical</w:t>
            </w:r>
          </w:p>
        </w:tc>
        <w:tc>
          <w:tcPr>
            <w:tcW w:type="dxa" w:w="3855"/>
            <w:shd w:fill="F3F6F8"/>
          </w:tcPr>
          <w:p>
            <w:pPr>
              <w:spacing w:after="0"/>
            </w:pPr>
            <w:r/>
            <w:r>
              <w:rPr>
                <w:rFonts w:ascii="Aptos" w:hAnsi="Aptos"/>
                <w:b w:val="0"/>
                <w:i w:val="0"/>
                <w:color w:val="1E252B"/>
                <w:sz w:val="16"/>
              </w:rPr>
              <w:t>Define process blocks, areas, capacities, and design criteria.</w:t>
            </w:r>
          </w:p>
        </w:tc>
        <w:tc>
          <w:tcPr>
            <w:tcW w:type="dxa" w:w="3855"/>
            <w:shd w:fill="F3F6F8"/>
          </w:tcPr>
          <w:p>
            <w:pPr>
              <w:spacing w:after="0"/>
            </w:pPr>
            <w:r/>
            <w:r>
              <w:rPr>
                <w:rFonts w:ascii="Aptos" w:hAnsi="Aptos"/>
                <w:b w:val="0"/>
                <w:i w:val="0"/>
                <w:color w:val="1E252B"/>
                <w:sz w:val="16"/>
              </w:rPr>
              <w:t>Conceptual until FEED and local permits.</w:t>
            </w:r>
          </w:p>
        </w:tc>
      </w:tr>
      <w:tr>
        <w:tc>
          <w:tcPr>
            <w:tcW w:type="dxa" w:w="1701"/>
            <w:shd w:fill="FFFFFF"/>
          </w:tcPr>
          <w:p>
            <w:pPr>
              <w:spacing w:after="0"/>
            </w:pPr>
            <w:r/>
            <w:r>
              <w:rPr>
                <w:rFonts w:ascii="Aptos" w:hAnsi="Aptos"/>
                <w:b w:val="0"/>
                <w:i w:val="0"/>
                <w:color w:val="1E252B"/>
                <w:sz w:val="16"/>
              </w:rPr>
              <w:t>Financial</w:t>
            </w:r>
          </w:p>
        </w:tc>
        <w:tc>
          <w:tcPr>
            <w:tcW w:type="dxa" w:w="3855"/>
            <w:shd w:fill="FFFFFF"/>
          </w:tcPr>
          <w:p>
            <w:pPr>
              <w:spacing w:after="0"/>
            </w:pPr>
            <w:r/>
            <w:r>
              <w:rPr>
                <w:rFonts w:ascii="Aptos" w:hAnsi="Aptos"/>
                <w:b w:val="0"/>
                <w:i w:val="0"/>
                <w:color w:val="1E252B"/>
                <w:sz w:val="16"/>
              </w:rPr>
              <w:t>Compare scenarios and sensitivities.</w:t>
            </w:r>
          </w:p>
        </w:tc>
        <w:tc>
          <w:tcPr>
            <w:tcW w:type="dxa" w:w="3855"/>
            <w:shd w:fill="FFFFFF"/>
          </w:tcPr>
          <w:p>
            <w:pPr>
              <w:spacing w:after="0"/>
            </w:pPr>
            <w:r/>
            <w:r>
              <w:rPr>
                <w:rFonts w:ascii="Aptos" w:hAnsi="Aptos"/>
                <w:b w:val="0"/>
                <w:i w:val="0"/>
                <w:color w:val="1E252B"/>
                <w:sz w:val="16"/>
              </w:rPr>
              <w:t>Class 4 CAPEX estimate, approximately ±30%.</w:t>
            </w:r>
          </w:p>
        </w:tc>
      </w:tr>
      <w:tr>
        <w:tc>
          <w:tcPr>
            <w:tcW w:type="dxa" w:w="1701"/>
            <w:shd w:fill="F3F6F8"/>
          </w:tcPr>
          <w:p>
            <w:pPr>
              <w:spacing w:after="0"/>
            </w:pPr>
            <w:r/>
            <w:r>
              <w:rPr>
                <w:rFonts w:ascii="Aptos" w:hAnsi="Aptos"/>
                <w:b w:val="0"/>
                <w:i w:val="0"/>
                <w:color w:val="1E252B"/>
                <w:sz w:val="16"/>
              </w:rPr>
              <w:t>Decision</w:t>
            </w:r>
          </w:p>
        </w:tc>
        <w:tc>
          <w:tcPr>
            <w:tcW w:type="dxa" w:w="3855"/>
            <w:shd w:fill="F3F6F8"/>
          </w:tcPr>
          <w:p>
            <w:pPr>
              <w:spacing w:after="0"/>
            </w:pPr>
            <w:r/>
            <w:r>
              <w:rPr>
                <w:rFonts w:ascii="Aptos" w:hAnsi="Aptos"/>
                <w:b w:val="0"/>
                <w:i w:val="0"/>
                <w:color w:val="1E252B"/>
                <w:sz w:val="16"/>
              </w:rPr>
              <w:t>Set investment gates and conditions precedent.</w:t>
            </w:r>
          </w:p>
        </w:tc>
        <w:tc>
          <w:tcPr>
            <w:tcW w:type="dxa" w:w="3855"/>
            <w:shd w:fill="F3F6F8"/>
          </w:tcPr>
          <w:p>
            <w:pPr>
              <w:spacing w:after="0"/>
            </w:pPr>
            <w:r/>
            <w:r>
              <w:rPr>
                <w:rFonts w:ascii="Aptos" w:hAnsi="Aptos"/>
                <w:b w:val="0"/>
                <w:i w:val="0"/>
                <w:color w:val="1E252B"/>
                <w:sz w:val="16"/>
              </w:rPr>
              <w:t>Does not authorize full construction spending.</w:t>
            </w:r>
          </w:p>
        </w:tc>
      </w:tr>
    </w:tbl>
    <w:p/>
    <w:p>
      <w:r>
        <w:br w:type="page"/>
      </w:r>
    </w:p>
    <w:p>
      <w:pPr>
        <w:spacing w:after="60"/>
      </w:pPr>
      <w:r>
        <w:rPr>
          <w:rFonts w:ascii="Aptos" w:hAnsi="Aptos"/>
          <w:b/>
          <w:i w:val="0"/>
          <w:color w:val="C5A253"/>
          <w:sz w:val="17"/>
        </w:rPr>
        <w:t>INVESTMENT DECISION</w:t>
      </w:r>
    </w:p>
    <w:p>
      <w:pPr>
        <w:spacing w:after="200"/>
      </w:pPr>
      <w:r>
        <w:rPr>
          <w:rFonts w:ascii="Aptos" w:hAnsi="Aptos"/>
          <w:b/>
          <w:i w:val="0"/>
          <w:color w:val="0B1F3A"/>
          <w:sz w:val="40"/>
        </w:rPr>
        <w:t>Executive Summary</w:t>
      </w:r>
    </w:p>
    <w:p>
      <w:pPr>
        <w:spacing w:after="120" w:line="271" w:lineRule="auto"/>
        <w:jc w:val="both"/>
      </w:pPr>
      <w:r>
        <w:rPr>
          <w:rFonts w:ascii="Aptos" w:hAnsi="Aptos"/>
          <w:b w:val="0"/>
          <w:i w:val="0"/>
          <w:color w:val="1E252B"/>
          <w:sz w:val="20"/>
        </w:rPr>
        <w:t>The project can be economically attractive if it is implemented in two phases, concentrates on higher-margin human-food ingredients and specialized animal nutrition, and makes the second expansion conditional on contracted demand. Argentina offers a powerful grain and oilseed base, but value creation depends on formulation, extrusion performance, food safety, logistics, and recurring sales.</w:t>
      </w:r>
    </w:p>
    <w:tbl>
      <w:tblPr>
        <w:tblW w:type="auto" w:w="0"/>
        <w:jc w:val="center"/>
        <w:tblLayout w:type="fixed"/>
        <w:tblLook w:firstColumn="1" w:firstRow="1" w:lastColumn="0" w:lastRow="0" w:noHBand="0" w:noVBand="1" w:val="04A0"/>
      </w:tblPr>
      <w:tblGrid>
        <w:gridCol w:w="3156"/>
        <w:gridCol w:w="3156"/>
        <w:gridCol w:w="3156"/>
      </w:tblGrid>
      <w:tr>
        <w:tc>
          <w:tcPr>
            <w:tcW w:type="dxa" w:w="1701"/>
            <w:shd w:fill="0B1F3A"/>
          </w:tcPr>
          <w:p>
            <w:pPr>
              <w:spacing w:after="0"/>
            </w:pPr>
            <w:r/>
            <w:r>
              <w:rPr>
                <w:rFonts w:ascii="Aptos" w:hAnsi="Aptos"/>
                <w:b/>
                <w:i w:val="0"/>
                <w:color w:val="FFFFFF"/>
                <w:sz w:val="16"/>
              </w:rPr>
              <w:t>Variable</w:t>
            </w:r>
          </w:p>
        </w:tc>
        <w:tc>
          <w:tcPr>
            <w:tcW w:type="dxa" w:w="3912"/>
            <w:shd w:fill="0B1F3A"/>
          </w:tcPr>
          <w:p>
            <w:pPr>
              <w:spacing w:after="0"/>
            </w:pPr>
            <w:r/>
            <w:r>
              <w:rPr>
                <w:rFonts w:ascii="Aptos" w:hAnsi="Aptos"/>
                <w:b/>
                <w:i w:val="0"/>
                <w:color w:val="FFFFFF"/>
                <w:sz w:val="16"/>
              </w:rPr>
              <w:t>Updated proposal</w:t>
            </w:r>
          </w:p>
        </w:tc>
        <w:tc>
          <w:tcPr>
            <w:tcW w:type="dxa" w:w="3798"/>
            <w:shd w:fill="0B1F3A"/>
          </w:tcPr>
          <w:p>
            <w:pPr>
              <w:spacing w:after="0"/>
            </w:pPr>
            <w:r/>
            <w:r>
              <w:rPr>
                <w:rFonts w:ascii="Aptos" w:hAnsi="Aptos"/>
                <w:b/>
                <w:i w:val="0"/>
                <w:color w:val="FFFFFF"/>
                <w:sz w:val="16"/>
              </w:rPr>
              <w:t>Investment gate</w:t>
            </w:r>
          </w:p>
        </w:tc>
      </w:tr>
      <w:tr>
        <w:tc>
          <w:tcPr>
            <w:tcW w:type="dxa" w:w="1701"/>
            <w:shd w:fill="FFFFFF"/>
          </w:tcPr>
          <w:p>
            <w:pPr>
              <w:spacing w:after="0"/>
            </w:pPr>
            <w:r/>
            <w:r>
              <w:rPr>
                <w:rFonts w:ascii="Aptos" w:hAnsi="Aptos"/>
                <w:b w:val="0"/>
                <w:i w:val="0"/>
                <w:color w:val="1E252B"/>
                <w:sz w:val="16"/>
              </w:rPr>
              <w:t>Phase 1</w:t>
            </w:r>
          </w:p>
        </w:tc>
        <w:tc>
          <w:tcPr>
            <w:tcW w:type="dxa" w:w="3912"/>
            <w:shd w:fill="FFFFFF"/>
          </w:tcPr>
          <w:p>
            <w:pPr>
              <w:spacing w:after="0"/>
            </w:pPr>
            <w:r/>
            <w:r>
              <w:rPr>
                <w:rFonts w:ascii="Aptos" w:hAnsi="Aptos"/>
                <w:b w:val="0"/>
                <w:i w:val="0"/>
                <w:color w:val="1E252B"/>
                <w:sz w:val="16"/>
              </w:rPr>
              <w:t>30,000 t/y; segregated human line plus flexible animal line.</w:t>
            </w:r>
          </w:p>
        </w:tc>
        <w:tc>
          <w:tcPr>
            <w:tcW w:type="dxa" w:w="3798"/>
            <w:shd w:fill="FFFFFF"/>
          </w:tcPr>
          <w:p>
            <w:pPr>
              <w:spacing w:after="0"/>
            </w:pPr>
            <w:r/>
            <w:r>
              <w:rPr>
                <w:rFonts w:ascii="Aptos" w:hAnsi="Aptos"/>
                <w:b w:val="0"/>
                <w:i w:val="0"/>
                <w:color w:val="1E252B"/>
                <w:sz w:val="16"/>
              </w:rPr>
              <w:t>At least 60% of capacity contracted before financial close.</w:t>
            </w:r>
          </w:p>
        </w:tc>
      </w:tr>
      <w:tr>
        <w:tc>
          <w:tcPr>
            <w:tcW w:type="dxa" w:w="1701"/>
            <w:shd w:fill="F3F6F8"/>
          </w:tcPr>
          <w:p>
            <w:pPr>
              <w:spacing w:after="0"/>
            </w:pPr>
            <w:r/>
            <w:r>
              <w:rPr>
                <w:rFonts w:ascii="Aptos" w:hAnsi="Aptos"/>
                <w:b w:val="0"/>
                <w:i w:val="0"/>
                <w:color w:val="1E252B"/>
                <w:sz w:val="16"/>
              </w:rPr>
              <w:t>Phase 2</w:t>
            </w:r>
          </w:p>
        </w:tc>
        <w:tc>
          <w:tcPr>
            <w:tcW w:type="dxa" w:w="3912"/>
            <w:shd w:fill="F3F6F8"/>
          </w:tcPr>
          <w:p>
            <w:pPr>
              <w:spacing w:after="0"/>
            </w:pPr>
            <w:r/>
            <w:r>
              <w:rPr>
                <w:rFonts w:ascii="Aptos" w:hAnsi="Aptos"/>
                <w:b w:val="0"/>
                <w:i w:val="0"/>
                <w:color w:val="1E252B"/>
                <w:sz w:val="16"/>
              </w:rPr>
              <w:t>Expansion to 65,000 t/y from operating year 5.</w:t>
            </w:r>
          </w:p>
        </w:tc>
        <w:tc>
          <w:tcPr>
            <w:tcW w:type="dxa" w:w="3798"/>
            <w:shd w:fill="F3F6F8"/>
          </w:tcPr>
          <w:p>
            <w:pPr>
              <w:spacing w:after="0"/>
            </w:pPr>
            <w:r/>
            <w:r>
              <w:rPr>
                <w:rFonts w:ascii="Aptos" w:hAnsi="Aptos"/>
                <w:b w:val="0"/>
                <w:i w:val="0"/>
                <w:color w:val="1E252B"/>
                <w:sz w:val="16"/>
              </w:rPr>
              <w:t>At least 80% utilization and positive EBITDA.</w:t>
            </w:r>
          </w:p>
        </w:tc>
      </w:tr>
      <w:tr>
        <w:tc>
          <w:tcPr>
            <w:tcW w:type="dxa" w:w="1701"/>
            <w:shd w:fill="FFFFFF"/>
          </w:tcPr>
          <w:p>
            <w:pPr>
              <w:spacing w:after="0"/>
            </w:pPr>
            <w:r/>
            <w:r>
              <w:rPr>
                <w:rFonts w:ascii="Aptos" w:hAnsi="Aptos"/>
                <w:b w:val="0"/>
                <w:i w:val="0"/>
                <w:color w:val="1E252B"/>
                <w:sz w:val="16"/>
              </w:rPr>
              <w:t>Location</w:t>
            </w:r>
          </w:p>
        </w:tc>
        <w:tc>
          <w:tcPr>
            <w:tcW w:type="dxa" w:w="3912"/>
            <w:shd w:fill="FFFFFF"/>
          </w:tcPr>
          <w:p>
            <w:pPr>
              <w:spacing w:after="0"/>
            </w:pPr>
            <w:r/>
            <w:r>
              <w:rPr>
                <w:rFonts w:ascii="Aptos" w:hAnsi="Aptos"/>
                <w:b w:val="0"/>
                <w:i w:val="0"/>
                <w:color w:val="1E252B"/>
                <w:sz w:val="16"/>
              </w:rPr>
              <w:t>Greater Rosario preferred; Córdoba second; Tucumán conditional.</w:t>
            </w:r>
          </w:p>
        </w:tc>
        <w:tc>
          <w:tcPr>
            <w:tcW w:type="dxa" w:w="3798"/>
            <w:shd w:fill="FFFFFF"/>
          </w:tcPr>
          <w:p>
            <w:pPr>
              <w:spacing w:after="0"/>
            </w:pPr>
            <w:r/>
            <w:r>
              <w:rPr>
                <w:rFonts w:ascii="Aptos" w:hAnsi="Aptos"/>
                <w:b w:val="0"/>
                <w:i w:val="0"/>
                <w:color w:val="1E252B"/>
                <w:sz w:val="16"/>
              </w:rPr>
              <w:t>Verified power, gas, water, EIA, road/rail and port service.</w:t>
            </w:r>
          </w:p>
        </w:tc>
      </w:tr>
      <w:tr>
        <w:tc>
          <w:tcPr>
            <w:tcW w:type="dxa" w:w="1701"/>
            <w:shd w:fill="F3F6F8"/>
          </w:tcPr>
          <w:p>
            <w:pPr>
              <w:spacing w:after="0"/>
            </w:pPr>
            <w:r/>
            <w:r>
              <w:rPr>
                <w:rFonts w:ascii="Aptos" w:hAnsi="Aptos"/>
                <w:b w:val="0"/>
                <w:i w:val="0"/>
                <w:color w:val="1E252B"/>
                <w:sz w:val="16"/>
              </w:rPr>
              <w:t>CAPEX</w:t>
            </w:r>
          </w:p>
        </w:tc>
        <w:tc>
          <w:tcPr>
            <w:tcW w:type="dxa" w:w="3912"/>
            <w:shd w:fill="F3F6F8"/>
          </w:tcPr>
          <w:p>
            <w:pPr>
              <w:spacing w:after="0"/>
            </w:pPr>
            <w:r/>
            <w:r>
              <w:rPr>
                <w:rFonts w:ascii="Aptos" w:hAnsi="Aptos"/>
                <w:b w:val="0"/>
                <w:i w:val="0"/>
                <w:color w:val="1E252B"/>
                <w:sz w:val="16"/>
              </w:rPr>
              <w:t>USD 31–45M phase 1 plus USD 18.6–28.5M phase 2.</w:t>
            </w:r>
          </w:p>
        </w:tc>
        <w:tc>
          <w:tcPr>
            <w:tcW w:type="dxa" w:w="3798"/>
            <w:shd w:fill="F3F6F8"/>
          </w:tcPr>
          <w:p>
            <w:pPr>
              <w:spacing w:after="0"/>
            </w:pPr>
            <w:r/>
            <w:r>
              <w:rPr>
                <w:rFonts w:ascii="Aptos" w:hAnsi="Aptos"/>
                <w:b w:val="0"/>
                <w:i w:val="0"/>
                <w:color w:val="1E252B"/>
                <w:sz w:val="16"/>
              </w:rPr>
              <w:t>Three competitive quotations and ≥15% contingency.</w:t>
            </w:r>
          </w:p>
        </w:tc>
      </w:tr>
      <w:tr>
        <w:tc>
          <w:tcPr>
            <w:tcW w:type="dxa" w:w="1701"/>
            <w:shd w:fill="FFFFFF"/>
          </w:tcPr>
          <w:p>
            <w:pPr>
              <w:spacing w:after="0"/>
            </w:pPr>
            <w:r/>
            <w:r>
              <w:rPr>
                <w:rFonts w:ascii="Aptos" w:hAnsi="Aptos"/>
                <w:b w:val="0"/>
                <w:i w:val="0"/>
                <w:color w:val="1E252B"/>
                <w:sz w:val="16"/>
              </w:rPr>
              <w:t>Base case</w:t>
            </w:r>
          </w:p>
        </w:tc>
        <w:tc>
          <w:tcPr>
            <w:tcW w:type="dxa" w:w="3912"/>
            <w:shd w:fill="FFFFFF"/>
          </w:tcPr>
          <w:p>
            <w:pPr>
              <w:spacing w:after="0"/>
            </w:pPr>
            <w:r/>
            <w:r>
              <w:rPr>
                <w:rFonts w:ascii="Aptos" w:hAnsi="Aptos"/>
                <w:b w:val="0"/>
                <w:i w:val="0"/>
                <w:color w:val="1E252B"/>
                <w:sz w:val="16"/>
              </w:rPr>
              <w:t>Indicative real IRR 15.3%; NPV at 14% USD 3.34M.</w:t>
            </w:r>
          </w:p>
        </w:tc>
        <w:tc>
          <w:tcPr>
            <w:tcW w:type="dxa" w:w="3798"/>
            <w:shd w:fill="FFFFFF"/>
          </w:tcPr>
          <w:p>
            <w:pPr>
              <w:spacing w:after="0"/>
            </w:pPr>
            <w:r/>
            <w:r>
              <w:rPr>
                <w:rFonts w:ascii="Aptos" w:hAnsi="Aptos"/>
                <w:b w:val="0"/>
                <w:i w:val="0"/>
                <w:color w:val="1E252B"/>
                <w:sz w:val="16"/>
              </w:rPr>
              <w:t>Reprice or redesign if return falls below risk-adjusted hurdle.</w:t>
            </w:r>
          </w:p>
        </w:tc>
      </w:tr>
    </w:tbl>
    <w:p/>
    <w:tbl>
      <w:tblPr>
        <w:tblW w:type="auto" w:w="0"/>
        <w:tblLook w:firstColumn="1" w:firstRow="1" w:lastColumn="0" w:lastRow="0" w:noHBand="0" w:noVBand="1" w:val="04A0"/>
      </w:tblPr>
      <w:tblGrid>
        <w:gridCol w:w="9468"/>
      </w:tblGrid>
      <w:tr>
        <w:tc>
          <w:tcPr>
            <w:tcW w:type="dxa" w:w="9468"/>
            <w:shd w:fill="F7F3E8"/>
          </w:tcPr>
          <w:p>
            <w:r/>
            <w:r>
              <w:rPr>
                <w:rFonts w:ascii="Aptos" w:hAnsi="Aptos"/>
                <w:b/>
                <w:i w:val="0"/>
                <w:color w:val="C5A253"/>
                <w:sz w:val="20"/>
              </w:rPr>
              <w:t>RECOMMENDATION</w:t>
              <w:br/>
            </w:r>
            <w:r>
              <w:rPr>
                <w:rFonts w:ascii="Aptos" w:hAnsi="Aptos"/>
                <w:b w:val="0"/>
                <w:i w:val="0"/>
                <w:color w:val="1E252B"/>
                <w:sz w:val="19"/>
              </w:rPr>
              <w:t>Authorize a 16-week site-and-market validation stage. Do not acquire land or major equipment before utility feasibility, critical permit screening, pilot trials, and letters of intent covering at least 18,000 metric tons per year.</w:t>
            </w:r>
          </w:p>
        </w:tc>
      </w:tr>
    </w:tbl>
    <w:p/>
    <w:p>
      <w:r>
        <w:br w:type="page"/>
      </w:r>
    </w:p>
    <w:p>
      <w:pPr>
        <w:spacing w:after="60"/>
      </w:pPr>
      <w:r>
        <w:rPr>
          <w:rFonts w:ascii="Aptos" w:hAnsi="Aptos"/>
          <w:b/>
          <w:i w:val="0"/>
          <w:color w:val="C5A253"/>
          <w:sz w:val="17"/>
        </w:rPr>
        <w:t>2026 UPDATE</w:t>
      </w:r>
    </w:p>
    <w:p>
      <w:pPr>
        <w:spacing w:after="200"/>
      </w:pPr>
      <w:r>
        <w:rPr>
          <w:rFonts w:ascii="Aptos" w:hAnsi="Aptos"/>
          <w:b/>
          <w:i w:val="0"/>
          <w:color w:val="0B1F3A"/>
          <w:sz w:val="40"/>
        </w:rPr>
        <w:t>What Changed Since the 2020 Project</w:t>
      </w:r>
    </w:p>
    <w:tbl>
      <w:tblPr>
        <w:tblW w:type="auto" w:w="0"/>
        <w:jc w:val="center"/>
        <w:tblLayout w:type="fixed"/>
        <w:tblLook w:firstColumn="1" w:firstRow="1" w:lastColumn="0" w:lastRow="0" w:noHBand="0" w:noVBand="1" w:val="04A0"/>
      </w:tblPr>
      <w:tblGrid>
        <w:gridCol w:w="3156"/>
        <w:gridCol w:w="3156"/>
        <w:gridCol w:w="3156"/>
      </w:tblGrid>
      <w:tr>
        <w:tc>
          <w:tcPr>
            <w:tcW w:type="dxa" w:w="1701"/>
            <w:shd w:fill="0B1F3A"/>
          </w:tcPr>
          <w:p>
            <w:pPr>
              <w:spacing w:after="0"/>
            </w:pPr>
            <w:r/>
            <w:r>
              <w:rPr>
                <w:rFonts w:ascii="Aptos" w:hAnsi="Aptos"/>
                <w:b/>
                <w:i w:val="0"/>
                <w:color w:val="FFFFFF"/>
                <w:sz w:val="16"/>
              </w:rPr>
              <w:t>Topic</w:t>
            </w:r>
          </w:p>
        </w:tc>
        <w:tc>
          <w:tcPr>
            <w:tcW w:type="dxa" w:w="3798"/>
            <w:shd w:fill="0B1F3A"/>
          </w:tcPr>
          <w:p>
            <w:pPr>
              <w:spacing w:after="0"/>
            </w:pPr>
            <w:r/>
            <w:r>
              <w:rPr>
                <w:rFonts w:ascii="Aptos" w:hAnsi="Aptos"/>
                <w:b/>
                <w:i w:val="0"/>
                <w:color w:val="FFFFFF"/>
                <w:sz w:val="16"/>
              </w:rPr>
              <w:t>2020 approach</w:t>
            </w:r>
          </w:p>
        </w:tc>
        <w:tc>
          <w:tcPr>
            <w:tcW w:type="dxa" w:w="3912"/>
            <w:shd w:fill="0B1F3A"/>
          </w:tcPr>
          <w:p>
            <w:pPr>
              <w:spacing w:after="0"/>
            </w:pPr>
            <w:r/>
            <w:r>
              <w:rPr>
                <w:rFonts w:ascii="Aptos" w:hAnsi="Aptos"/>
                <w:b/>
                <w:i w:val="0"/>
                <w:color w:val="FFFFFF"/>
                <w:sz w:val="16"/>
              </w:rPr>
              <w:t>2026 approach</w:t>
            </w:r>
          </w:p>
        </w:tc>
      </w:tr>
      <w:tr>
        <w:tc>
          <w:tcPr>
            <w:tcW w:type="dxa" w:w="1701"/>
            <w:shd w:fill="FFFFFF"/>
          </w:tcPr>
          <w:p>
            <w:pPr>
              <w:spacing w:after="0"/>
            </w:pPr>
            <w:r/>
            <w:r>
              <w:rPr>
                <w:rFonts w:ascii="Aptos" w:hAnsi="Aptos"/>
                <w:b w:val="0"/>
                <w:i w:val="0"/>
                <w:color w:val="1E252B"/>
                <w:sz w:val="16"/>
              </w:rPr>
              <w:t>Geography</w:t>
            </w:r>
          </w:p>
        </w:tc>
        <w:tc>
          <w:tcPr>
            <w:tcW w:type="dxa" w:w="3798"/>
            <w:shd w:fill="FFFFFF"/>
          </w:tcPr>
          <w:p>
            <w:pPr>
              <w:spacing w:after="0"/>
            </w:pPr>
            <w:r/>
            <w:r>
              <w:rPr>
                <w:rFonts w:ascii="Aptos" w:hAnsi="Aptos"/>
                <w:b w:val="0"/>
                <w:i w:val="0"/>
                <w:color w:val="1E252B"/>
                <w:sz w:val="16"/>
              </w:rPr>
              <w:t>Colombia, Argentina, or Brazil.</w:t>
            </w:r>
          </w:p>
        </w:tc>
        <w:tc>
          <w:tcPr>
            <w:tcW w:type="dxa" w:w="3912"/>
            <w:shd w:fill="FFFFFF"/>
          </w:tcPr>
          <w:p>
            <w:pPr>
              <w:spacing w:after="0"/>
            </w:pPr>
            <w:r/>
            <w:r>
              <w:rPr>
                <w:rFonts w:ascii="Aptos" w:hAnsi="Aptos"/>
                <w:b w:val="0"/>
                <w:i w:val="0"/>
                <w:color w:val="1E252B"/>
                <w:sz w:val="16"/>
              </w:rPr>
              <w:t>Argentina; compare Greater Rosario, Córdoba, and Tucumán.</w:t>
            </w:r>
          </w:p>
        </w:tc>
      </w:tr>
      <w:tr>
        <w:tc>
          <w:tcPr>
            <w:tcW w:type="dxa" w:w="1701"/>
            <w:shd w:fill="F3F6F8"/>
          </w:tcPr>
          <w:p>
            <w:pPr>
              <w:spacing w:after="0"/>
            </w:pPr>
            <w:r/>
            <w:r>
              <w:rPr>
                <w:rFonts w:ascii="Aptos" w:hAnsi="Aptos"/>
                <w:b w:val="0"/>
                <w:i w:val="0"/>
                <w:color w:val="1E252B"/>
                <w:sz w:val="16"/>
              </w:rPr>
              <w:t>Capacity</w:t>
            </w:r>
          </w:p>
        </w:tc>
        <w:tc>
          <w:tcPr>
            <w:tcW w:type="dxa" w:w="3798"/>
            <w:shd w:fill="F3F6F8"/>
          </w:tcPr>
          <w:p>
            <w:pPr>
              <w:spacing w:after="0"/>
            </w:pPr>
            <w:r/>
            <w:r>
              <w:rPr>
                <w:rFonts w:ascii="Aptos" w:hAnsi="Aptos"/>
                <w:b w:val="0"/>
                <w:i w:val="0"/>
                <w:color w:val="1E252B"/>
                <w:sz w:val="16"/>
              </w:rPr>
              <w:t>64,188 t/y from one integrated plant.</w:t>
            </w:r>
          </w:p>
        </w:tc>
        <w:tc>
          <w:tcPr>
            <w:tcW w:type="dxa" w:w="3912"/>
            <w:shd w:fill="F3F6F8"/>
          </w:tcPr>
          <w:p>
            <w:pPr>
              <w:spacing w:after="0"/>
            </w:pPr>
            <w:r/>
            <w:r>
              <w:rPr>
                <w:rFonts w:ascii="Aptos" w:hAnsi="Aptos"/>
                <w:b w:val="0"/>
                <w:i w:val="0"/>
                <w:color w:val="1E252B"/>
                <w:sz w:val="16"/>
              </w:rPr>
              <w:t>30,000 t/y first; modular growth to 65,000.</w:t>
            </w:r>
          </w:p>
        </w:tc>
      </w:tr>
      <w:tr>
        <w:tc>
          <w:tcPr>
            <w:tcW w:type="dxa" w:w="1701"/>
            <w:shd w:fill="FFFFFF"/>
          </w:tcPr>
          <w:p>
            <w:pPr>
              <w:spacing w:after="0"/>
            </w:pPr>
            <w:r/>
            <w:r>
              <w:rPr>
                <w:rFonts w:ascii="Aptos" w:hAnsi="Aptos"/>
                <w:b w:val="0"/>
                <w:i w:val="0"/>
                <w:color w:val="1E252B"/>
                <w:sz w:val="16"/>
              </w:rPr>
              <w:t>Port</w:t>
            </w:r>
          </w:p>
        </w:tc>
        <w:tc>
          <w:tcPr>
            <w:tcW w:type="dxa" w:w="3798"/>
            <w:shd w:fill="FFFFFF"/>
          </w:tcPr>
          <w:p>
            <w:pPr>
              <w:spacing w:after="0"/>
            </w:pPr>
            <w:r/>
            <w:r>
              <w:rPr>
                <w:rFonts w:ascii="Aptos" w:hAnsi="Aptos"/>
                <w:b w:val="0"/>
                <w:i w:val="0"/>
                <w:color w:val="1E252B"/>
                <w:sz w:val="16"/>
              </w:rPr>
              <w:t>Private port: USD 28M.</w:t>
            </w:r>
          </w:p>
        </w:tc>
        <w:tc>
          <w:tcPr>
            <w:tcW w:type="dxa" w:w="3912"/>
            <w:shd w:fill="FFFFFF"/>
          </w:tcPr>
          <w:p>
            <w:pPr>
              <w:spacing w:after="0"/>
            </w:pPr>
            <w:r/>
            <w:r>
              <w:rPr>
                <w:rFonts w:ascii="Aptos" w:hAnsi="Aptos"/>
                <w:b w:val="0"/>
                <w:i w:val="0"/>
                <w:color w:val="1E252B"/>
                <w:sz w:val="16"/>
              </w:rPr>
              <w:t>Existing terminals and contracted logistics.</w:t>
            </w:r>
          </w:p>
        </w:tc>
      </w:tr>
      <w:tr>
        <w:tc>
          <w:tcPr>
            <w:tcW w:type="dxa" w:w="1701"/>
            <w:shd w:fill="F3F6F8"/>
          </w:tcPr>
          <w:p>
            <w:pPr>
              <w:spacing w:after="0"/>
            </w:pPr>
            <w:r/>
            <w:r>
              <w:rPr>
                <w:rFonts w:ascii="Aptos" w:hAnsi="Aptos"/>
                <w:b w:val="0"/>
                <w:i w:val="0"/>
                <w:color w:val="1E252B"/>
                <w:sz w:val="16"/>
              </w:rPr>
              <w:t>Investment</w:t>
            </w:r>
          </w:p>
        </w:tc>
        <w:tc>
          <w:tcPr>
            <w:tcW w:type="dxa" w:w="3798"/>
            <w:shd w:fill="F3F6F8"/>
          </w:tcPr>
          <w:p>
            <w:pPr>
              <w:spacing w:after="0"/>
            </w:pPr>
            <w:r/>
            <w:r>
              <w:rPr>
                <w:rFonts w:ascii="Aptos" w:hAnsi="Aptos"/>
                <w:b w:val="0"/>
                <w:i w:val="0"/>
                <w:color w:val="1E252B"/>
                <w:sz w:val="16"/>
              </w:rPr>
              <w:t>USD 62.67M historical estimate.</w:t>
            </w:r>
          </w:p>
        </w:tc>
        <w:tc>
          <w:tcPr>
            <w:tcW w:type="dxa" w:w="3912"/>
            <w:shd w:fill="F3F6F8"/>
          </w:tcPr>
          <w:p>
            <w:pPr>
              <w:spacing w:after="0"/>
            </w:pPr>
            <w:r/>
            <w:r>
              <w:rPr>
                <w:rFonts w:ascii="Aptos" w:hAnsi="Aptos"/>
                <w:b w:val="0"/>
                <w:i w:val="0"/>
                <w:color w:val="1E252B"/>
                <w:sz w:val="16"/>
              </w:rPr>
              <w:t>Class 4 ranges and explicit contingency.</w:t>
            </w:r>
          </w:p>
        </w:tc>
      </w:tr>
      <w:tr>
        <w:tc>
          <w:tcPr>
            <w:tcW w:type="dxa" w:w="1701"/>
            <w:shd w:fill="FFFFFF"/>
          </w:tcPr>
          <w:p>
            <w:pPr>
              <w:spacing w:after="0"/>
            </w:pPr>
            <w:r/>
            <w:r>
              <w:rPr>
                <w:rFonts w:ascii="Aptos" w:hAnsi="Aptos"/>
                <w:b w:val="0"/>
                <w:i w:val="0"/>
                <w:color w:val="1E252B"/>
                <w:sz w:val="16"/>
              </w:rPr>
              <w:t>Market</w:t>
            </w:r>
          </w:p>
        </w:tc>
        <w:tc>
          <w:tcPr>
            <w:tcW w:type="dxa" w:w="3798"/>
            <w:shd w:fill="FFFFFF"/>
          </w:tcPr>
          <w:p>
            <w:pPr>
              <w:spacing w:after="0"/>
            </w:pPr>
            <w:r/>
            <w:r>
              <w:rPr>
                <w:rFonts w:ascii="Aptos" w:hAnsi="Aptos"/>
                <w:b w:val="0"/>
                <w:i w:val="0"/>
                <w:color w:val="1E252B"/>
                <w:sz w:val="16"/>
              </w:rPr>
              <w:t>Broad public programs and exports.</w:t>
            </w:r>
          </w:p>
        </w:tc>
        <w:tc>
          <w:tcPr>
            <w:tcW w:type="dxa" w:w="3912"/>
            <w:shd w:fill="FFFFFF"/>
          </w:tcPr>
          <w:p>
            <w:pPr>
              <w:spacing w:after="0"/>
            </w:pPr>
            <w:r/>
            <w:r>
              <w:rPr>
                <w:rFonts w:ascii="Aptos" w:hAnsi="Aptos"/>
                <w:b w:val="0"/>
                <w:i w:val="0"/>
                <w:color w:val="1E252B"/>
                <w:sz w:val="16"/>
              </w:rPr>
              <w:t>Priority segments, offtake, quality, and destination approvals.</w:t>
            </w:r>
          </w:p>
        </w:tc>
      </w:tr>
      <w:tr>
        <w:tc>
          <w:tcPr>
            <w:tcW w:type="dxa" w:w="1701"/>
            <w:shd w:fill="F3F6F8"/>
          </w:tcPr>
          <w:p>
            <w:pPr>
              <w:spacing w:after="0"/>
            </w:pPr>
            <w:r/>
            <w:r>
              <w:rPr>
                <w:rFonts w:ascii="Aptos" w:hAnsi="Aptos"/>
                <w:b w:val="0"/>
                <w:i w:val="0"/>
                <w:color w:val="1E252B"/>
                <w:sz w:val="16"/>
              </w:rPr>
              <w:t>Finance</w:t>
            </w:r>
          </w:p>
        </w:tc>
        <w:tc>
          <w:tcPr>
            <w:tcW w:type="dxa" w:w="3798"/>
            <w:shd w:fill="F3F6F8"/>
          </w:tcPr>
          <w:p>
            <w:pPr>
              <w:spacing w:after="0"/>
            </w:pPr>
            <w:r/>
            <w:r>
              <w:rPr>
                <w:rFonts w:ascii="Aptos" w:hAnsi="Aptos"/>
                <w:b w:val="0"/>
                <w:i w:val="0"/>
                <w:color w:val="1E252B"/>
                <w:sz w:val="16"/>
              </w:rPr>
              <w:t>9% debt, 10 years; IRR 13.43%.</w:t>
            </w:r>
          </w:p>
        </w:tc>
        <w:tc>
          <w:tcPr>
            <w:tcW w:type="dxa" w:w="3912"/>
            <w:shd w:fill="F3F6F8"/>
          </w:tcPr>
          <w:p>
            <w:pPr>
              <w:spacing w:after="0"/>
            </w:pPr>
            <w:r/>
            <w:r>
              <w:rPr>
                <w:rFonts w:ascii="Aptos" w:hAnsi="Aptos"/>
                <w:b w:val="0"/>
                <w:i w:val="0"/>
                <w:color w:val="1E252B"/>
                <w:sz w:val="16"/>
              </w:rPr>
              <w:t>Unlevered real cash flow; 12–18% discount range.</w:t>
            </w:r>
          </w:p>
        </w:tc>
      </w:tr>
      <w:tr>
        <w:tc>
          <w:tcPr>
            <w:tcW w:type="dxa" w:w="1701"/>
            <w:shd w:fill="FFFFFF"/>
          </w:tcPr>
          <w:p>
            <w:pPr>
              <w:spacing w:after="0"/>
            </w:pPr>
            <w:r/>
            <w:r>
              <w:rPr>
                <w:rFonts w:ascii="Aptos" w:hAnsi="Aptos"/>
                <w:b w:val="0"/>
                <w:i w:val="0"/>
                <w:color w:val="1E252B"/>
                <w:sz w:val="16"/>
              </w:rPr>
              <w:t>Quality</w:t>
            </w:r>
          </w:p>
        </w:tc>
        <w:tc>
          <w:tcPr>
            <w:tcW w:type="dxa" w:w="3798"/>
            <w:shd w:fill="FFFFFF"/>
          </w:tcPr>
          <w:p>
            <w:pPr>
              <w:spacing w:after="0"/>
            </w:pPr>
            <w:r/>
            <w:r>
              <w:rPr>
                <w:rFonts w:ascii="Aptos" w:hAnsi="Aptos"/>
                <w:b w:val="0"/>
                <w:i w:val="0"/>
                <w:color w:val="1E252B"/>
                <w:sz w:val="16"/>
              </w:rPr>
              <w:t>General description.</w:t>
            </w:r>
          </w:p>
        </w:tc>
        <w:tc>
          <w:tcPr>
            <w:tcW w:type="dxa" w:w="3912"/>
            <w:shd w:fill="FFFFFF"/>
          </w:tcPr>
          <w:p>
            <w:pPr>
              <w:spacing w:after="0"/>
            </w:pPr>
            <w:r/>
            <w:r>
              <w:rPr>
                <w:rFonts w:ascii="Aptos" w:hAnsi="Aptos"/>
                <w:b w:val="0"/>
                <w:i w:val="0"/>
                <w:color w:val="1E252B"/>
                <w:sz w:val="16"/>
              </w:rPr>
              <w:t>HACCP, ISO/FSSC, allergens, traceability, segregation.</w:t>
            </w:r>
          </w:p>
        </w:tc>
      </w:tr>
    </w:tbl>
    <w:p/>
    <w:p>
      <w:pPr>
        <w:spacing w:after="120" w:line="271" w:lineRule="auto"/>
        <w:jc w:val="both"/>
      </w:pPr>
      <w:r>
        <w:rPr>
          <w:rFonts w:ascii="Aptos" w:hAnsi="Aptos"/>
          <w:b w:val="0"/>
          <w:i w:val="0"/>
          <w:color w:val="1E252B"/>
          <w:sz w:val="20"/>
        </w:rPr>
        <w:t>The historical cost cannot be updated by inflation alone. Imported process equipment, local construction, utilities, freight, foreign exchange, and regulations have moved differently. The new estimate is therefore organized as procurement packages to support current quotations.</w:t>
      </w:r>
    </w:p>
    <w:p>
      <w:r>
        <w:br w:type="page"/>
      </w:r>
    </w:p>
    <w:p>
      <w:pPr>
        <w:spacing w:after="60"/>
      </w:pPr>
      <w:r>
        <w:rPr>
          <w:rFonts w:ascii="Aptos" w:hAnsi="Aptos"/>
          <w:b/>
          <w:i w:val="0"/>
          <w:color w:val="C5A253"/>
          <w:sz w:val="17"/>
        </w:rPr>
        <w:t>MARKET 2026</w:t>
      </w:r>
    </w:p>
    <w:p>
      <w:pPr>
        <w:spacing w:after="200"/>
      </w:pPr>
      <w:r>
        <w:rPr>
          <w:rFonts w:ascii="Aptos" w:hAnsi="Aptos"/>
          <w:b/>
          <w:i w:val="0"/>
          <w:color w:val="0B1F3A"/>
          <w:sz w:val="40"/>
        </w:rPr>
        <w:t>Global Market and Strategic Opportunity</w:t>
      </w:r>
    </w:p>
    <w:p>
      <w:pPr>
        <w:spacing w:after="120" w:line="271" w:lineRule="auto"/>
        <w:jc w:val="both"/>
      </w:pPr>
      <w:r>
        <w:rPr>
          <w:rFonts w:ascii="Aptos" w:hAnsi="Aptos"/>
          <w:b w:val="0"/>
          <w:i w:val="0"/>
          <w:color w:val="1E252B"/>
          <w:sz w:val="20"/>
        </w:rPr>
        <w:t>The 2026 Alltech Agri-Food Outlook estimates that world compound-feed output increased 2.9% in 2025 to about 1.44 billion metric tons. Latin America remains a major producing region, while aquaculture feed returned to stronger growth. The scale confirms a substantial addressable market, but it does not prove demand for a new facility: entry depends on product performance, delivered price, certification, and channel access.</w:t>
      </w:r>
    </w:p>
    <w:tbl>
      <w:tblPr>
        <w:tblW w:type="auto" w:w="0"/>
        <w:jc w:val="center"/>
        <w:tblLayout w:type="fixed"/>
        <w:tblLook w:firstColumn="1" w:firstRow="1" w:lastColumn="0" w:lastRow="0" w:noHBand="0" w:noVBand="1" w:val="04A0"/>
      </w:tblPr>
      <w:tblGrid>
        <w:gridCol w:w="2367"/>
        <w:gridCol w:w="2367"/>
        <w:gridCol w:w="2367"/>
        <w:gridCol w:w="2367"/>
      </w:tblGrid>
      <w:tr>
        <w:tc>
          <w:tcPr>
            <w:tcW w:type="dxa" w:w="2098"/>
            <w:shd w:fill="0B1F3A"/>
          </w:tcPr>
          <w:p>
            <w:pPr>
              <w:spacing w:after="0"/>
            </w:pPr>
            <w:r/>
            <w:r>
              <w:rPr>
                <w:rFonts w:ascii="Aptos" w:hAnsi="Aptos"/>
                <w:b/>
                <w:i w:val="0"/>
                <w:color w:val="FFFFFF"/>
                <w:sz w:val="16"/>
              </w:rPr>
              <w:t>Segment</w:t>
            </w:r>
          </w:p>
        </w:tc>
        <w:tc>
          <w:tcPr>
            <w:tcW w:type="dxa" w:w="2494"/>
            <w:shd w:fill="0B1F3A"/>
          </w:tcPr>
          <w:p>
            <w:pPr>
              <w:spacing w:after="0"/>
            </w:pPr>
            <w:r/>
            <w:r>
              <w:rPr>
                <w:rFonts w:ascii="Aptos" w:hAnsi="Aptos"/>
                <w:b/>
                <w:i w:val="0"/>
                <w:color w:val="FFFFFF"/>
                <w:sz w:val="16"/>
              </w:rPr>
              <w:t>Attractiveness</w:t>
            </w:r>
          </w:p>
        </w:tc>
        <w:tc>
          <w:tcPr>
            <w:tcW w:type="dxa" w:w="3175"/>
            <w:shd w:fill="0B1F3A"/>
          </w:tcPr>
          <w:p>
            <w:pPr>
              <w:spacing w:after="0"/>
            </w:pPr>
            <w:r/>
            <w:r>
              <w:rPr>
                <w:rFonts w:ascii="Aptos" w:hAnsi="Aptos"/>
                <w:b/>
                <w:i w:val="0"/>
                <w:color w:val="FFFFFF"/>
                <w:sz w:val="16"/>
              </w:rPr>
              <w:t>Core requirement</w:t>
            </w:r>
          </w:p>
        </w:tc>
        <w:tc>
          <w:tcPr>
            <w:tcW w:type="dxa" w:w="1417"/>
            <w:shd w:fill="0B1F3A"/>
          </w:tcPr>
          <w:p>
            <w:pPr>
              <w:spacing w:after="0"/>
            </w:pPr>
            <w:r/>
            <w:r>
              <w:rPr>
                <w:rFonts w:ascii="Aptos" w:hAnsi="Aptos"/>
                <w:b/>
                <w:i w:val="0"/>
                <w:color w:val="FFFFFF"/>
                <w:sz w:val="16"/>
              </w:rPr>
              <w:t>Priority</w:t>
            </w:r>
          </w:p>
        </w:tc>
      </w:tr>
      <w:tr>
        <w:tc>
          <w:tcPr>
            <w:tcW w:type="dxa" w:w="2098"/>
            <w:shd w:fill="FFFFFF"/>
          </w:tcPr>
          <w:p>
            <w:pPr>
              <w:spacing w:after="0"/>
            </w:pPr>
            <w:r/>
            <w:r>
              <w:rPr>
                <w:rFonts w:ascii="Aptos" w:hAnsi="Aptos"/>
                <w:b w:val="0"/>
                <w:i w:val="0"/>
                <w:color w:val="1E252B"/>
                <w:sz w:val="16"/>
              </w:rPr>
              <w:t>Textured plant protein B2B</w:t>
            </w:r>
          </w:p>
        </w:tc>
        <w:tc>
          <w:tcPr>
            <w:tcW w:type="dxa" w:w="2494"/>
            <w:shd w:fill="FFFFFF"/>
          </w:tcPr>
          <w:p>
            <w:pPr>
              <w:spacing w:after="0"/>
            </w:pPr>
            <w:r/>
            <w:r>
              <w:rPr>
                <w:rFonts w:ascii="Aptos" w:hAnsi="Aptos"/>
                <w:b w:val="0"/>
                <w:i w:val="0"/>
                <w:color w:val="1E252B"/>
                <w:sz w:val="16"/>
              </w:rPr>
              <w:t>Higher value and export potential.</w:t>
            </w:r>
          </w:p>
        </w:tc>
        <w:tc>
          <w:tcPr>
            <w:tcW w:type="dxa" w:w="3175"/>
            <w:shd w:fill="FFFFFF"/>
          </w:tcPr>
          <w:p>
            <w:pPr>
              <w:spacing w:after="0"/>
            </w:pPr>
            <w:r/>
            <w:r>
              <w:rPr>
                <w:rFonts w:ascii="Aptos" w:hAnsi="Aptos"/>
                <w:b w:val="0"/>
                <w:i w:val="0"/>
                <w:color w:val="1E252B"/>
                <w:sz w:val="16"/>
              </w:rPr>
              <w:t>Stable texture, color, hydration, protein, allergen control.</w:t>
            </w:r>
          </w:p>
        </w:tc>
        <w:tc>
          <w:tcPr>
            <w:tcW w:type="dxa" w:w="1417"/>
            <w:shd w:fill="FFFFFF"/>
          </w:tcPr>
          <w:p>
            <w:pPr>
              <w:spacing w:after="0"/>
            </w:pPr>
            <w:r/>
            <w:r>
              <w:rPr>
                <w:rFonts w:ascii="Aptos" w:hAnsi="Aptos"/>
                <w:b w:val="0"/>
                <w:i w:val="0"/>
                <w:color w:val="1E252B"/>
                <w:sz w:val="16"/>
              </w:rPr>
              <w:t>1</w:t>
            </w:r>
          </w:p>
        </w:tc>
      </w:tr>
      <w:tr>
        <w:tc>
          <w:tcPr>
            <w:tcW w:type="dxa" w:w="2098"/>
            <w:shd w:fill="F3F6F8"/>
          </w:tcPr>
          <w:p>
            <w:pPr>
              <w:spacing w:after="0"/>
            </w:pPr>
            <w:r/>
            <w:r>
              <w:rPr>
                <w:rFonts w:ascii="Aptos" w:hAnsi="Aptos"/>
                <w:b w:val="0"/>
                <w:i w:val="0"/>
                <w:color w:val="1E252B"/>
                <w:sz w:val="16"/>
              </w:rPr>
              <w:t>Fortified human-food blends</w:t>
            </w:r>
          </w:p>
        </w:tc>
        <w:tc>
          <w:tcPr>
            <w:tcW w:type="dxa" w:w="2494"/>
            <w:shd w:fill="F3F6F8"/>
          </w:tcPr>
          <w:p>
            <w:pPr>
              <w:spacing w:after="0"/>
            </w:pPr>
            <w:r/>
            <w:r>
              <w:rPr>
                <w:rFonts w:ascii="Aptos" w:hAnsi="Aptos"/>
                <w:b w:val="0"/>
                <w:i w:val="0"/>
                <w:color w:val="1E252B"/>
                <w:sz w:val="16"/>
              </w:rPr>
              <w:t>Institutional and nutrition demand.</w:t>
            </w:r>
          </w:p>
        </w:tc>
        <w:tc>
          <w:tcPr>
            <w:tcW w:type="dxa" w:w="3175"/>
            <w:shd w:fill="F3F6F8"/>
          </w:tcPr>
          <w:p>
            <w:pPr>
              <w:spacing w:after="0"/>
            </w:pPr>
            <w:r/>
            <w:r>
              <w:rPr>
                <w:rFonts w:ascii="Aptos" w:hAnsi="Aptos"/>
                <w:b w:val="0"/>
                <w:i w:val="0"/>
                <w:color w:val="1E252B"/>
                <w:sz w:val="16"/>
              </w:rPr>
              <w:t>CAA compliance, registrations, micronutrient control.</w:t>
            </w:r>
          </w:p>
        </w:tc>
        <w:tc>
          <w:tcPr>
            <w:tcW w:type="dxa" w:w="1417"/>
            <w:shd w:fill="F3F6F8"/>
          </w:tcPr>
          <w:p>
            <w:pPr>
              <w:spacing w:after="0"/>
            </w:pPr>
            <w:r/>
            <w:r>
              <w:rPr>
                <w:rFonts w:ascii="Aptos" w:hAnsi="Aptos"/>
                <w:b w:val="0"/>
                <w:i w:val="0"/>
                <w:color w:val="1E252B"/>
                <w:sz w:val="16"/>
              </w:rPr>
              <w:t>2</w:t>
            </w:r>
          </w:p>
        </w:tc>
      </w:tr>
      <w:tr>
        <w:tc>
          <w:tcPr>
            <w:tcW w:type="dxa" w:w="2098"/>
            <w:shd w:fill="FFFFFF"/>
          </w:tcPr>
          <w:p>
            <w:pPr>
              <w:spacing w:after="0"/>
            </w:pPr>
            <w:r/>
            <w:r>
              <w:rPr>
                <w:rFonts w:ascii="Aptos" w:hAnsi="Aptos"/>
                <w:b w:val="0"/>
                <w:i w:val="0"/>
                <w:color w:val="1E252B"/>
                <w:sz w:val="16"/>
              </w:rPr>
              <w:t>Pet food and treats</w:t>
            </w:r>
          </w:p>
        </w:tc>
        <w:tc>
          <w:tcPr>
            <w:tcW w:type="dxa" w:w="2494"/>
            <w:shd w:fill="FFFFFF"/>
          </w:tcPr>
          <w:p>
            <w:pPr>
              <w:spacing w:after="0"/>
            </w:pPr>
            <w:r/>
            <w:r>
              <w:rPr>
                <w:rFonts w:ascii="Aptos" w:hAnsi="Aptos"/>
                <w:b w:val="0"/>
                <w:i w:val="0"/>
                <w:color w:val="1E252B"/>
                <w:sz w:val="16"/>
              </w:rPr>
              <w:t>Premiumization and regional brands.</w:t>
            </w:r>
          </w:p>
        </w:tc>
        <w:tc>
          <w:tcPr>
            <w:tcW w:type="dxa" w:w="3175"/>
            <w:shd w:fill="FFFFFF"/>
          </w:tcPr>
          <w:p>
            <w:pPr>
              <w:spacing w:after="0"/>
            </w:pPr>
            <w:r/>
            <w:r>
              <w:rPr>
                <w:rFonts w:ascii="Aptos" w:hAnsi="Aptos"/>
                <w:b w:val="0"/>
                <w:i w:val="0"/>
                <w:color w:val="1E252B"/>
                <w:sz w:val="16"/>
              </w:rPr>
              <w:t>Palatability, safety, formulation, channel.</w:t>
            </w:r>
          </w:p>
        </w:tc>
        <w:tc>
          <w:tcPr>
            <w:tcW w:type="dxa" w:w="1417"/>
            <w:shd w:fill="FFFFFF"/>
          </w:tcPr>
          <w:p>
            <w:pPr>
              <w:spacing w:after="0"/>
            </w:pPr>
            <w:r/>
            <w:r>
              <w:rPr>
                <w:rFonts w:ascii="Aptos" w:hAnsi="Aptos"/>
                <w:b w:val="0"/>
                <w:i w:val="0"/>
                <w:color w:val="1E252B"/>
                <w:sz w:val="16"/>
              </w:rPr>
              <w:t>2</w:t>
            </w:r>
          </w:p>
        </w:tc>
      </w:tr>
      <w:tr>
        <w:tc>
          <w:tcPr>
            <w:tcW w:type="dxa" w:w="2098"/>
            <w:shd w:fill="F3F6F8"/>
          </w:tcPr>
          <w:p>
            <w:pPr>
              <w:spacing w:after="0"/>
            </w:pPr>
            <w:r/>
            <w:r>
              <w:rPr>
                <w:rFonts w:ascii="Aptos" w:hAnsi="Aptos"/>
                <w:b w:val="0"/>
                <w:i w:val="0"/>
                <w:color w:val="1E252B"/>
                <w:sz w:val="16"/>
              </w:rPr>
              <w:t>Aquaculture feed</w:t>
            </w:r>
          </w:p>
        </w:tc>
        <w:tc>
          <w:tcPr>
            <w:tcW w:type="dxa" w:w="2494"/>
            <w:shd w:fill="F3F6F8"/>
          </w:tcPr>
          <w:p>
            <w:pPr>
              <w:spacing w:after="0"/>
            </w:pPr>
            <w:r/>
            <w:r>
              <w:rPr>
                <w:rFonts w:ascii="Aptos" w:hAnsi="Aptos"/>
                <w:b w:val="0"/>
                <w:i w:val="0"/>
                <w:color w:val="1E252B"/>
                <w:sz w:val="16"/>
              </w:rPr>
              <w:t>Extrusion-dependent growing segment.</w:t>
            </w:r>
          </w:p>
        </w:tc>
        <w:tc>
          <w:tcPr>
            <w:tcW w:type="dxa" w:w="3175"/>
            <w:shd w:fill="F3F6F8"/>
          </w:tcPr>
          <w:p>
            <w:pPr>
              <w:spacing w:after="0"/>
            </w:pPr>
            <w:r/>
            <w:r>
              <w:rPr>
                <w:rFonts w:ascii="Aptos" w:hAnsi="Aptos"/>
                <w:b w:val="0"/>
                <w:i w:val="0"/>
                <w:color w:val="1E252B"/>
                <w:sz w:val="16"/>
              </w:rPr>
              <w:t>Floatability, water stability, digestibility.</w:t>
            </w:r>
          </w:p>
        </w:tc>
        <w:tc>
          <w:tcPr>
            <w:tcW w:type="dxa" w:w="1417"/>
            <w:shd w:fill="F3F6F8"/>
          </w:tcPr>
          <w:p>
            <w:pPr>
              <w:spacing w:after="0"/>
            </w:pPr>
            <w:r/>
            <w:r>
              <w:rPr>
                <w:rFonts w:ascii="Aptos" w:hAnsi="Aptos"/>
                <w:b w:val="0"/>
                <w:i w:val="0"/>
                <w:color w:val="1E252B"/>
                <w:sz w:val="16"/>
              </w:rPr>
              <w:t>2</w:t>
            </w:r>
          </w:p>
        </w:tc>
      </w:tr>
      <w:tr>
        <w:tc>
          <w:tcPr>
            <w:tcW w:type="dxa" w:w="2098"/>
            <w:shd w:fill="FFFFFF"/>
          </w:tcPr>
          <w:p>
            <w:pPr>
              <w:spacing w:after="0"/>
            </w:pPr>
            <w:r/>
            <w:r>
              <w:rPr>
                <w:rFonts w:ascii="Aptos" w:hAnsi="Aptos"/>
                <w:b w:val="0"/>
                <w:i w:val="0"/>
                <w:color w:val="1E252B"/>
                <w:sz w:val="16"/>
              </w:rPr>
              <w:t>Mass-market feed</w:t>
            </w:r>
          </w:p>
        </w:tc>
        <w:tc>
          <w:tcPr>
            <w:tcW w:type="dxa" w:w="2494"/>
            <w:shd w:fill="FFFFFF"/>
          </w:tcPr>
          <w:p>
            <w:pPr>
              <w:spacing w:after="0"/>
            </w:pPr>
            <w:r/>
            <w:r>
              <w:rPr>
                <w:rFonts w:ascii="Aptos" w:hAnsi="Aptos"/>
                <w:b w:val="0"/>
                <w:i w:val="0"/>
                <w:color w:val="1E252B"/>
                <w:sz w:val="16"/>
              </w:rPr>
              <w:t>Large volume.</w:t>
            </w:r>
          </w:p>
        </w:tc>
        <w:tc>
          <w:tcPr>
            <w:tcW w:type="dxa" w:w="3175"/>
            <w:shd w:fill="FFFFFF"/>
          </w:tcPr>
          <w:p>
            <w:pPr>
              <w:spacing w:after="0"/>
            </w:pPr>
            <w:r/>
            <w:r>
              <w:rPr>
                <w:rFonts w:ascii="Aptos" w:hAnsi="Aptos"/>
                <w:b w:val="0"/>
                <w:i w:val="0"/>
                <w:color w:val="1E252B"/>
                <w:sz w:val="16"/>
              </w:rPr>
              <w:t>Cost leadership and customer proximity.</w:t>
            </w:r>
          </w:p>
        </w:tc>
        <w:tc>
          <w:tcPr>
            <w:tcW w:type="dxa" w:w="1417"/>
            <w:shd w:fill="FFFFFF"/>
          </w:tcPr>
          <w:p>
            <w:pPr>
              <w:spacing w:after="0"/>
            </w:pPr>
            <w:r/>
            <w:r>
              <w:rPr>
                <w:rFonts w:ascii="Aptos" w:hAnsi="Aptos"/>
                <w:b w:val="0"/>
                <w:i w:val="0"/>
                <w:color w:val="1E252B"/>
                <w:sz w:val="16"/>
              </w:rPr>
              <w:t>3</w:t>
            </w:r>
          </w:p>
        </w:tc>
      </w:tr>
      <w:tr>
        <w:tc>
          <w:tcPr>
            <w:tcW w:type="dxa" w:w="2098"/>
            <w:shd w:fill="F3F6F8"/>
          </w:tcPr>
          <w:p>
            <w:pPr>
              <w:spacing w:after="0"/>
            </w:pPr>
            <w:r/>
            <w:r>
              <w:rPr>
                <w:rFonts w:ascii="Aptos" w:hAnsi="Aptos"/>
                <w:b w:val="0"/>
                <w:i w:val="0"/>
                <w:color w:val="1E252B"/>
                <w:sz w:val="16"/>
              </w:rPr>
              <w:t>Retail snacks</w:t>
            </w:r>
          </w:p>
        </w:tc>
        <w:tc>
          <w:tcPr>
            <w:tcW w:type="dxa" w:w="2494"/>
            <w:shd w:fill="F3F6F8"/>
          </w:tcPr>
          <w:p>
            <w:pPr>
              <w:spacing w:after="0"/>
            </w:pPr>
            <w:r/>
            <w:r>
              <w:rPr>
                <w:rFonts w:ascii="Aptos" w:hAnsi="Aptos"/>
                <w:b w:val="0"/>
                <w:i w:val="0"/>
                <w:color w:val="1E252B"/>
                <w:sz w:val="16"/>
              </w:rPr>
              <w:t>High unit value.</w:t>
            </w:r>
          </w:p>
        </w:tc>
        <w:tc>
          <w:tcPr>
            <w:tcW w:type="dxa" w:w="3175"/>
            <w:shd w:fill="F3F6F8"/>
          </w:tcPr>
          <w:p>
            <w:pPr>
              <w:spacing w:after="0"/>
            </w:pPr>
            <w:r/>
            <w:r>
              <w:rPr>
                <w:rFonts w:ascii="Aptos" w:hAnsi="Aptos"/>
                <w:b w:val="0"/>
                <w:i w:val="0"/>
                <w:color w:val="1E252B"/>
                <w:sz w:val="16"/>
              </w:rPr>
              <w:t>Brand, distribution, innovation, working capital.</w:t>
            </w:r>
          </w:p>
        </w:tc>
        <w:tc>
          <w:tcPr>
            <w:tcW w:type="dxa" w:w="1417"/>
            <w:shd w:fill="F3F6F8"/>
          </w:tcPr>
          <w:p>
            <w:pPr>
              <w:spacing w:after="0"/>
            </w:pPr>
            <w:r/>
            <w:r>
              <w:rPr>
                <w:rFonts w:ascii="Aptos" w:hAnsi="Aptos"/>
                <w:b w:val="0"/>
                <w:i w:val="0"/>
                <w:color w:val="1E252B"/>
                <w:sz w:val="16"/>
              </w:rPr>
              <w:t>Pilot</w:t>
            </w:r>
          </w:p>
        </w:tc>
      </w:tr>
    </w:tbl>
    <w:p/>
    <w:p>
      <w:r>
        <w:br w:type="page"/>
      </w:r>
    </w:p>
    <w:p>
      <w:pPr>
        <w:spacing w:after="60"/>
      </w:pPr>
      <w:r>
        <w:rPr>
          <w:rFonts w:ascii="Aptos" w:hAnsi="Aptos"/>
          <w:b/>
          <w:i w:val="0"/>
          <w:color w:val="C5A253"/>
          <w:sz w:val="17"/>
        </w:rPr>
        <w:t>SUPPLY</w:t>
      </w:r>
    </w:p>
    <w:p>
      <w:pPr>
        <w:spacing w:after="200"/>
      </w:pPr>
      <w:r>
        <w:rPr>
          <w:rFonts w:ascii="Aptos" w:hAnsi="Aptos"/>
          <w:b/>
          <w:i w:val="0"/>
          <w:color w:val="0B1F3A"/>
          <w:sz w:val="40"/>
        </w:rPr>
        <w:t>Argentina’s Raw-Material Platform</w:t>
      </w:r>
    </w:p>
    <w:p>
      <w:pPr>
        <w:spacing w:after="120" w:line="271" w:lineRule="auto"/>
        <w:jc w:val="both"/>
      </w:pPr>
      <w:r>
        <w:rPr>
          <w:rFonts w:ascii="Aptos" w:hAnsi="Aptos"/>
          <w:b w:val="0"/>
          <w:i w:val="0"/>
          <w:color w:val="1E252B"/>
          <w:sz w:val="20"/>
        </w:rPr>
        <w:t>For crop year 2025/26, the Buenos Aires Grain Exchange reported approximately 64.0 million metric tons of corn and 50.1 million metric tons of soybeans. National availability is far above project requirements. The real supply risks are delivered cost, seasonality, quality, segregation, mycotoxins, and volatility in protein meals and oils.</w:t>
      </w:r>
    </w:p>
    <w:tbl>
      <w:tblPr>
        <w:tblW w:type="auto" w:w="0"/>
        <w:jc w:val="center"/>
        <w:tblLayout w:type="fixed"/>
        <w:tblLook w:firstColumn="1" w:firstRow="1" w:lastColumn="0" w:lastRow="0" w:noHBand="0" w:noVBand="1" w:val="04A0"/>
      </w:tblPr>
      <w:tblGrid>
        <w:gridCol w:w="2367"/>
        <w:gridCol w:w="2367"/>
        <w:gridCol w:w="2367"/>
        <w:gridCol w:w="2367"/>
      </w:tblGrid>
      <w:tr>
        <w:tc>
          <w:tcPr>
            <w:tcW w:type="dxa" w:w="1984"/>
            <w:shd w:fill="0B1F3A"/>
          </w:tcPr>
          <w:p>
            <w:pPr>
              <w:spacing w:after="0"/>
            </w:pPr>
            <w:r/>
            <w:r>
              <w:rPr>
                <w:rFonts w:ascii="Aptos" w:hAnsi="Aptos"/>
                <w:b/>
                <w:i w:val="0"/>
                <w:color w:val="FFFFFF"/>
                <w:sz w:val="16"/>
              </w:rPr>
              <w:t>Input</w:t>
            </w:r>
          </w:p>
        </w:tc>
        <w:tc>
          <w:tcPr>
            <w:tcW w:type="dxa" w:w="2268"/>
            <w:shd w:fill="0B1F3A"/>
          </w:tcPr>
          <w:p>
            <w:pPr>
              <w:spacing w:after="0"/>
            </w:pPr>
            <w:r/>
            <w:r>
              <w:rPr>
                <w:rFonts w:ascii="Aptos" w:hAnsi="Aptos"/>
                <w:b/>
                <w:i w:val="0"/>
                <w:color w:val="FFFFFF"/>
                <w:sz w:val="16"/>
              </w:rPr>
              <w:t>Role</w:t>
            </w:r>
          </w:p>
        </w:tc>
        <w:tc>
          <w:tcPr>
            <w:tcW w:type="dxa" w:w="3005"/>
            <w:shd w:fill="0B1F3A"/>
          </w:tcPr>
          <w:p>
            <w:pPr>
              <w:spacing w:after="0"/>
            </w:pPr>
            <w:r/>
            <w:r>
              <w:rPr>
                <w:rFonts w:ascii="Aptos" w:hAnsi="Aptos"/>
                <w:b/>
                <w:i w:val="0"/>
                <w:color w:val="FFFFFF"/>
                <w:sz w:val="16"/>
              </w:rPr>
              <w:t>Sourcing strategy</w:t>
            </w:r>
          </w:p>
        </w:tc>
        <w:tc>
          <w:tcPr>
            <w:tcW w:type="dxa" w:w="2154"/>
            <w:shd w:fill="0B1F3A"/>
          </w:tcPr>
          <w:p>
            <w:pPr>
              <w:spacing w:after="0"/>
            </w:pPr>
            <w:r/>
            <w:r>
              <w:rPr>
                <w:rFonts w:ascii="Aptos" w:hAnsi="Aptos"/>
                <w:b/>
                <w:i w:val="0"/>
                <w:color w:val="FFFFFF"/>
                <w:sz w:val="16"/>
              </w:rPr>
              <w:t>Key controls</w:t>
            </w:r>
          </w:p>
        </w:tc>
      </w:tr>
      <w:tr>
        <w:tc>
          <w:tcPr>
            <w:tcW w:type="dxa" w:w="1984"/>
            <w:shd w:fill="FFFFFF"/>
          </w:tcPr>
          <w:p>
            <w:pPr>
              <w:spacing w:after="0"/>
            </w:pPr>
            <w:r/>
            <w:r>
              <w:rPr>
                <w:rFonts w:ascii="Aptos" w:hAnsi="Aptos"/>
                <w:b w:val="0"/>
                <w:i w:val="0"/>
                <w:color w:val="1E252B"/>
                <w:sz w:val="16"/>
              </w:rPr>
              <w:t>Soy meal / expeller</w:t>
            </w:r>
          </w:p>
        </w:tc>
        <w:tc>
          <w:tcPr>
            <w:tcW w:type="dxa" w:w="2268"/>
            <w:shd w:fill="FFFFFF"/>
          </w:tcPr>
          <w:p>
            <w:pPr>
              <w:spacing w:after="0"/>
            </w:pPr>
            <w:r/>
            <w:r>
              <w:rPr>
                <w:rFonts w:ascii="Aptos" w:hAnsi="Aptos"/>
                <w:b w:val="0"/>
                <w:i w:val="0"/>
                <w:color w:val="1E252B"/>
                <w:sz w:val="16"/>
              </w:rPr>
              <w:t>Primary protein source.</w:t>
            </w:r>
          </w:p>
        </w:tc>
        <w:tc>
          <w:tcPr>
            <w:tcW w:type="dxa" w:w="3005"/>
            <w:shd w:fill="FFFFFF"/>
          </w:tcPr>
          <w:p>
            <w:pPr>
              <w:spacing w:after="0"/>
            </w:pPr>
            <w:r/>
            <w:r>
              <w:rPr>
                <w:rFonts w:ascii="Aptos" w:hAnsi="Aptos"/>
                <w:b w:val="0"/>
                <w:i w:val="0"/>
                <w:color w:val="1E252B"/>
                <w:sz w:val="16"/>
              </w:rPr>
              <w:t>Index formula plus logistics differential; 2–3 suppliers.</w:t>
            </w:r>
          </w:p>
        </w:tc>
        <w:tc>
          <w:tcPr>
            <w:tcW w:type="dxa" w:w="2154"/>
            <w:shd w:fill="FFFFFF"/>
          </w:tcPr>
          <w:p>
            <w:pPr>
              <w:spacing w:after="0"/>
            </w:pPr>
            <w:r/>
            <w:r>
              <w:rPr>
                <w:rFonts w:ascii="Aptos" w:hAnsi="Aptos"/>
                <w:b w:val="0"/>
                <w:i w:val="0"/>
                <w:color w:val="1E252B"/>
                <w:sz w:val="16"/>
              </w:rPr>
              <w:t>Protein, urease, solubility, salmonella, GMO status.</w:t>
            </w:r>
          </w:p>
        </w:tc>
      </w:tr>
      <w:tr>
        <w:tc>
          <w:tcPr>
            <w:tcW w:type="dxa" w:w="1984"/>
            <w:shd w:fill="F3F6F8"/>
          </w:tcPr>
          <w:p>
            <w:pPr>
              <w:spacing w:after="0"/>
            </w:pPr>
            <w:r/>
            <w:r>
              <w:rPr>
                <w:rFonts w:ascii="Aptos" w:hAnsi="Aptos"/>
                <w:b w:val="0"/>
                <w:i w:val="0"/>
                <w:color w:val="1E252B"/>
                <w:sz w:val="16"/>
              </w:rPr>
              <w:t>Corn</w:t>
            </w:r>
          </w:p>
        </w:tc>
        <w:tc>
          <w:tcPr>
            <w:tcW w:type="dxa" w:w="2268"/>
            <w:shd w:fill="F3F6F8"/>
          </w:tcPr>
          <w:p>
            <w:pPr>
              <w:spacing w:after="0"/>
            </w:pPr>
            <w:r/>
            <w:r>
              <w:rPr>
                <w:rFonts w:ascii="Aptos" w:hAnsi="Aptos"/>
                <w:b w:val="0"/>
                <w:i w:val="0"/>
                <w:color w:val="1E252B"/>
                <w:sz w:val="16"/>
              </w:rPr>
              <w:t>Starch, expansion, and energy.</w:t>
            </w:r>
          </w:p>
        </w:tc>
        <w:tc>
          <w:tcPr>
            <w:tcW w:type="dxa" w:w="3005"/>
            <w:shd w:fill="F3F6F8"/>
          </w:tcPr>
          <w:p>
            <w:pPr>
              <w:spacing w:after="0"/>
            </w:pPr>
            <w:r/>
            <w:r>
              <w:rPr>
                <w:rFonts w:ascii="Aptos" w:hAnsi="Aptos"/>
                <w:b w:val="0"/>
                <w:i w:val="0"/>
                <w:color w:val="1E252B"/>
                <w:sz w:val="16"/>
              </w:rPr>
              <w:t>Staggered purchases, hedging, buffer storage.</w:t>
            </w:r>
          </w:p>
        </w:tc>
        <w:tc>
          <w:tcPr>
            <w:tcW w:type="dxa" w:w="2154"/>
            <w:shd w:fill="F3F6F8"/>
          </w:tcPr>
          <w:p>
            <w:pPr>
              <w:spacing w:after="0"/>
            </w:pPr>
            <w:r/>
            <w:r>
              <w:rPr>
                <w:rFonts w:ascii="Aptos" w:hAnsi="Aptos"/>
                <w:b w:val="0"/>
                <w:i w:val="0"/>
                <w:color w:val="1E252B"/>
                <w:sz w:val="16"/>
              </w:rPr>
              <w:t>Moisture, mycotoxins, particle size.</w:t>
            </w:r>
          </w:p>
        </w:tc>
      </w:tr>
      <w:tr>
        <w:tc>
          <w:tcPr>
            <w:tcW w:type="dxa" w:w="1984"/>
            <w:shd w:fill="FFFFFF"/>
          </w:tcPr>
          <w:p>
            <w:pPr>
              <w:spacing w:after="0"/>
            </w:pPr>
            <w:r/>
            <w:r>
              <w:rPr>
                <w:rFonts w:ascii="Aptos" w:hAnsi="Aptos"/>
                <w:b w:val="0"/>
                <w:i w:val="0"/>
                <w:color w:val="1E252B"/>
                <w:sz w:val="16"/>
              </w:rPr>
              <w:t>Rice / pulses</w:t>
            </w:r>
          </w:p>
        </w:tc>
        <w:tc>
          <w:tcPr>
            <w:tcW w:type="dxa" w:w="2268"/>
            <w:shd w:fill="FFFFFF"/>
          </w:tcPr>
          <w:p>
            <w:pPr>
              <w:spacing w:after="0"/>
            </w:pPr>
            <w:r/>
            <w:r>
              <w:rPr>
                <w:rFonts w:ascii="Aptos" w:hAnsi="Aptos"/>
                <w:b w:val="0"/>
                <w:i w:val="0"/>
                <w:color w:val="1E252B"/>
                <w:sz w:val="16"/>
              </w:rPr>
              <w:t>Texture, digestibility, product claims.</w:t>
            </w:r>
          </w:p>
        </w:tc>
        <w:tc>
          <w:tcPr>
            <w:tcW w:type="dxa" w:w="3005"/>
            <w:shd w:fill="FFFFFF"/>
          </w:tcPr>
          <w:p>
            <w:pPr>
              <w:spacing w:after="0"/>
            </w:pPr>
            <w:r/>
            <w:r>
              <w:rPr>
                <w:rFonts w:ascii="Aptos" w:hAnsi="Aptos"/>
                <w:b w:val="0"/>
                <w:i w:val="0"/>
                <w:color w:val="1E252B"/>
                <w:sz w:val="16"/>
              </w:rPr>
              <w:t>Crop contracts and specifications.</w:t>
            </w:r>
          </w:p>
        </w:tc>
        <w:tc>
          <w:tcPr>
            <w:tcW w:type="dxa" w:w="2154"/>
            <w:shd w:fill="FFFFFF"/>
          </w:tcPr>
          <w:p>
            <w:pPr>
              <w:spacing w:after="0"/>
            </w:pPr>
            <w:r/>
            <w:r>
              <w:rPr>
                <w:rFonts w:ascii="Aptos" w:hAnsi="Aptos"/>
                <w:b w:val="0"/>
                <w:i w:val="0"/>
                <w:color w:val="1E252B"/>
                <w:sz w:val="16"/>
              </w:rPr>
              <w:t>Broken grain, allergens, residues.</w:t>
            </w:r>
          </w:p>
        </w:tc>
      </w:tr>
      <w:tr>
        <w:tc>
          <w:tcPr>
            <w:tcW w:type="dxa" w:w="1984"/>
            <w:shd w:fill="F3F6F8"/>
          </w:tcPr>
          <w:p>
            <w:pPr>
              <w:spacing w:after="0"/>
            </w:pPr>
            <w:r/>
            <w:r>
              <w:rPr>
                <w:rFonts w:ascii="Aptos" w:hAnsi="Aptos"/>
                <w:b w:val="0"/>
                <w:i w:val="0"/>
                <w:color w:val="1E252B"/>
                <w:sz w:val="16"/>
              </w:rPr>
              <w:t>Oils / flavors</w:t>
            </w:r>
          </w:p>
        </w:tc>
        <w:tc>
          <w:tcPr>
            <w:tcW w:type="dxa" w:w="2268"/>
            <w:shd w:fill="F3F6F8"/>
          </w:tcPr>
          <w:p>
            <w:pPr>
              <w:spacing w:after="0"/>
            </w:pPr>
            <w:r/>
            <w:r>
              <w:rPr>
                <w:rFonts w:ascii="Aptos" w:hAnsi="Aptos"/>
                <w:b w:val="0"/>
                <w:i w:val="0"/>
                <w:color w:val="1E252B"/>
                <w:sz w:val="16"/>
              </w:rPr>
              <w:t>Palatability and energy density.</w:t>
            </w:r>
          </w:p>
        </w:tc>
        <w:tc>
          <w:tcPr>
            <w:tcW w:type="dxa" w:w="3005"/>
            <w:shd w:fill="F3F6F8"/>
          </w:tcPr>
          <w:p>
            <w:pPr>
              <w:spacing w:after="0"/>
            </w:pPr>
            <w:r/>
            <w:r>
              <w:rPr>
                <w:rFonts w:ascii="Aptos" w:hAnsi="Aptos"/>
                <w:b w:val="0"/>
                <w:i w:val="0"/>
                <w:color w:val="1E252B"/>
                <w:sz w:val="16"/>
              </w:rPr>
              <w:t>Indexed formula; segregated tanks.</w:t>
            </w:r>
          </w:p>
        </w:tc>
        <w:tc>
          <w:tcPr>
            <w:tcW w:type="dxa" w:w="2154"/>
            <w:shd w:fill="F3F6F8"/>
          </w:tcPr>
          <w:p>
            <w:pPr>
              <w:spacing w:after="0"/>
            </w:pPr>
            <w:r/>
            <w:r>
              <w:rPr>
                <w:rFonts w:ascii="Aptos" w:hAnsi="Aptos"/>
                <w:b w:val="0"/>
                <w:i w:val="0"/>
                <w:color w:val="1E252B"/>
                <w:sz w:val="16"/>
              </w:rPr>
              <w:t>Oxidation, dosing, traceability.</w:t>
            </w:r>
          </w:p>
        </w:tc>
      </w:tr>
      <w:tr>
        <w:tc>
          <w:tcPr>
            <w:tcW w:type="dxa" w:w="1984"/>
            <w:shd w:fill="FFFFFF"/>
          </w:tcPr>
          <w:p>
            <w:pPr>
              <w:spacing w:after="0"/>
            </w:pPr>
            <w:r/>
            <w:r>
              <w:rPr>
                <w:rFonts w:ascii="Aptos" w:hAnsi="Aptos"/>
                <w:b w:val="0"/>
                <w:i w:val="0"/>
                <w:color w:val="1E252B"/>
                <w:sz w:val="16"/>
              </w:rPr>
              <w:t>Vitamins / minerals</w:t>
            </w:r>
          </w:p>
        </w:tc>
        <w:tc>
          <w:tcPr>
            <w:tcW w:type="dxa" w:w="2268"/>
            <w:shd w:fill="FFFFFF"/>
          </w:tcPr>
          <w:p>
            <w:pPr>
              <w:spacing w:after="0"/>
            </w:pPr>
            <w:r/>
            <w:r>
              <w:rPr>
                <w:rFonts w:ascii="Aptos" w:hAnsi="Aptos"/>
                <w:b w:val="0"/>
                <w:i w:val="0"/>
                <w:color w:val="1E252B"/>
                <w:sz w:val="16"/>
              </w:rPr>
              <w:t>Fortification.</w:t>
            </w:r>
          </w:p>
        </w:tc>
        <w:tc>
          <w:tcPr>
            <w:tcW w:type="dxa" w:w="3005"/>
            <w:shd w:fill="FFFFFF"/>
          </w:tcPr>
          <w:p>
            <w:pPr>
              <w:spacing w:after="0"/>
            </w:pPr>
            <w:r/>
            <w:r>
              <w:rPr>
                <w:rFonts w:ascii="Aptos" w:hAnsi="Aptos"/>
                <w:b w:val="0"/>
                <w:i w:val="0"/>
                <w:color w:val="1E252B"/>
                <w:sz w:val="16"/>
              </w:rPr>
              <w:t>Approved suppliers and safety stock.</w:t>
            </w:r>
          </w:p>
        </w:tc>
        <w:tc>
          <w:tcPr>
            <w:tcW w:type="dxa" w:w="2154"/>
            <w:shd w:fill="FFFFFF"/>
          </w:tcPr>
          <w:p>
            <w:pPr>
              <w:spacing w:after="0"/>
            </w:pPr>
            <w:r/>
            <w:r>
              <w:rPr>
                <w:rFonts w:ascii="Aptos" w:hAnsi="Aptos"/>
                <w:b w:val="0"/>
                <w:i w:val="0"/>
                <w:color w:val="1E252B"/>
                <w:sz w:val="16"/>
              </w:rPr>
              <w:t>Potency, stability, certificate of analysis.</w:t>
            </w:r>
          </w:p>
        </w:tc>
      </w:tr>
    </w:tbl>
    <w:p/>
    <w:p>
      <w:pPr>
        <w:spacing w:after="120" w:line="271" w:lineRule="auto"/>
        <w:jc w:val="both"/>
      </w:pPr>
      <w:r>
        <w:rPr>
          <w:rFonts w:ascii="Aptos" w:hAnsi="Aptos"/>
          <w:b w:val="0"/>
          <w:i w:val="0"/>
          <w:color w:val="1E252B"/>
          <w:sz w:val="20"/>
        </w:rPr>
        <w:t>The World Bank Pink Sheet for September 2026 shows soybean meal near USD 403/t in its international reference series. The actual Argentine plant-delivered cost will differ by specification, processing, taxes, freight, and terms. It is used only as a scenario anchor, not as a purchase quotation.</w:t>
      </w:r>
    </w:p>
    <w:p>
      <w:r>
        <w:br w:type="page"/>
      </w:r>
    </w:p>
    <w:p>
      <w:pPr>
        <w:spacing w:after="60"/>
      </w:pPr>
      <w:r>
        <w:rPr>
          <w:rFonts w:ascii="Aptos" w:hAnsi="Aptos"/>
          <w:b/>
          <w:i w:val="0"/>
          <w:color w:val="C5A253"/>
          <w:sz w:val="17"/>
        </w:rPr>
        <w:t>COMMERCIAL STRATEGY</w:t>
      </w:r>
    </w:p>
    <w:p>
      <w:pPr>
        <w:spacing w:after="200"/>
      </w:pPr>
      <w:r>
        <w:rPr>
          <w:rFonts w:ascii="Aptos" w:hAnsi="Aptos"/>
          <w:b/>
          <w:i w:val="0"/>
          <w:color w:val="0B1F3A"/>
          <w:sz w:val="40"/>
        </w:rPr>
        <w:t>Recommended Product Portfolio</w:t>
      </w:r>
    </w:p>
    <w:tbl>
      <w:tblPr>
        <w:tblW w:type="auto" w:w="0"/>
        <w:jc w:val="center"/>
        <w:tblLayout w:type="fixed"/>
        <w:tblLook w:firstColumn="1" w:firstRow="1" w:lastColumn="0" w:lastRow="0" w:noHBand="0" w:noVBand="1" w:val="04A0"/>
      </w:tblPr>
      <w:tblGrid>
        <w:gridCol w:w="2367"/>
        <w:gridCol w:w="2367"/>
        <w:gridCol w:w="2367"/>
        <w:gridCol w:w="2367"/>
      </w:tblGrid>
      <w:tr>
        <w:tc>
          <w:tcPr>
            <w:tcW w:type="dxa" w:w="2268"/>
            <w:shd w:fill="0B1F3A"/>
          </w:tcPr>
          <w:p>
            <w:pPr>
              <w:spacing w:after="0"/>
            </w:pPr>
            <w:r/>
            <w:r>
              <w:rPr>
                <w:rFonts w:ascii="Aptos" w:hAnsi="Aptos"/>
                <w:b/>
                <w:i w:val="0"/>
                <w:color w:val="FFFFFF"/>
                <w:sz w:val="16"/>
              </w:rPr>
              <w:t>Family</w:t>
            </w:r>
          </w:p>
        </w:tc>
        <w:tc>
          <w:tcPr>
            <w:tcW w:type="dxa" w:w="2381"/>
            <w:shd w:fill="0B1F3A"/>
          </w:tcPr>
          <w:p>
            <w:pPr>
              <w:spacing w:after="0"/>
            </w:pPr>
            <w:r/>
            <w:r>
              <w:rPr>
                <w:rFonts w:ascii="Aptos" w:hAnsi="Aptos"/>
                <w:b/>
                <w:i w:val="0"/>
                <w:color w:val="FFFFFF"/>
                <w:sz w:val="16"/>
              </w:rPr>
              <w:t>Format</w:t>
            </w:r>
          </w:p>
        </w:tc>
        <w:tc>
          <w:tcPr>
            <w:tcW w:type="dxa" w:w="2948"/>
            <w:shd w:fill="0B1F3A"/>
          </w:tcPr>
          <w:p>
            <w:pPr>
              <w:spacing w:after="0"/>
            </w:pPr>
            <w:r/>
            <w:r>
              <w:rPr>
                <w:rFonts w:ascii="Aptos" w:hAnsi="Aptos"/>
                <w:b/>
                <w:i w:val="0"/>
                <w:color w:val="FFFFFF"/>
                <w:sz w:val="16"/>
              </w:rPr>
              <w:t>Target customer</w:t>
            </w:r>
          </w:p>
        </w:tc>
        <w:tc>
          <w:tcPr>
            <w:tcW w:type="dxa" w:w="1701"/>
            <w:shd w:fill="0B1F3A"/>
          </w:tcPr>
          <w:p>
            <w:pPr>
              <w:spacing w:after="0"/>
            </w:pPr>
            <w:r/>
            <w:r>
              <w:rPr>
                <w:rFonts w:ascii="Aptos" w:hAnsi="Aptos"/>
                <w:b/>
                <w:i w:val="0"/>
                <w:color w:val="FFFFFF"/>
                <w:sz w:val="16"/>
              </w:rPr>
              <w:t>Phase 1 share</w:t>
            </w:r>
          </w:p>
        </w:tc>
      </w:tr>
      <w:tr>
        <w:tc>
          <w:tcPr>
            <w:tcW w:type="dxa" w:w="2268"/>
            <w:shd w:fill="FFFFFF"/>
          </w:tcPr>
          <w:p>
            <w:pPr>
              <w:spacing w:after="0"/>
            </w:pPr>
            <w:r/>
            <w:r>
              <w:rPr>
                <w:rFonts w:ascii="Aptos" w:hAnsi="Aptos"/>
                <w:b w:val="0"/>
                <w:i w:val="0"/>
                <w:color w:val="1E252B"/>
                <w:sz w:val="16"/>
              </w:rPr>
              <w:t>Textured vegetable protein</w:t>
            </w:r>
          </w:p>
        </w:tc>
        <w:tc>
          <w:tcPr>
            <w:tcW w:type="dxa" w:w="2381"/>
            <w:shd w:fill="FFFFFF"/>
          </w:tcPr>
          <w:p>
            <w:pPr>
              <w:spacing w:after="0"/>
            </w:pPr>
            <w:r/>
            <w:r>
              <w:rPr>
                <w:rFonts w:ascii="Aptos" w:hAnsi="Aptos"/>
                <w:b w:val="0"/>
                <w:i w:val="0"/>
                <w:color w:val="1E252B"/>
                <w:sz w:val="16"/>
              </w:rPr>
              <w:t>Dry, controlled sizes and colors.</w:t>
            </w:r>
          </w:p>
        </w:tc>
        <w:tc>
          <w:tcPr>
            <w:tcW w:type="dxa" w:w="2948"/>
            <w:shd w:fill="FFFFFF"/>
          </w:tcPr>
          <w:p>
            <w:pPr>
              <w:spacing w:after="0"/>
            </w:pPr>
            <w:r/>
            <w:r>
              <w:rPr>
                <w:rFonts w:ascii="Aptos" w:hAnsi="Aptos"/>
                <w:b w:val="0"/>
                <w:i w:val="0"/>
                <w:color w:val="1E252B"/>
                <w:sz w:val="16"/>
              </w:rPr>
              <w:t>Food processors, food service, exporters.</w:t>
            </w:r>
          </w:p>
        </w:tc>
        <w:tc>
          <w:tcPr>
            <w:tcW w:type="dxa" w:w="1701"/>
            <w:shd w:fill="FFFFFF"/>
          </w:tcPr>
          <w:p>
            <w:pPr>
              <w:spacing w:after="0"/>
            </w:pPr>
            <w:r/>
            <w:r>
              <w:rPr>
                <w:rFonts w:ascii="Aptos" w:hAnsi="Aptos"/>
                <w:b w:val="0"/>
                <w:i w:val="0"/>
                <w:color w:val="1E252B"/>
                <w:sz w:val="16"/>
              </w:rPr>
              <w:t>35%</w:t>
            </w:r>
          </w:p>
        </w:tc>
      </w:tr>
      <w:tr>
        <w:tc>
          <w:tcPr>
            <w:tcW w:type="dxa" w:w="2268"/>
            <w:shd w:fill="F3F6F8"/>
          </w:tcPr>
          <w:p>
            <w:pPr>
              <w:spacing w:after="0"/>
            </w:pPr>
            <w:r/>
            <w:r>
              <w:rPr>
                <w:rFonts w:ascii="Aptos" w:hAnsi="Aptos"/>
                <w:b w:val="0"/>
                <w:i w:val="0"/>
                <w:color w:val="1E252B"/>
                <w:sz w:val="16"/>
              </w:rPr>
              <w:t>Fortified human-food bases</w:t>
            </w:r>
          </w:p>
        </w:tc>
        <w:tc>
          <w:tcPr>
            <w:tcW w:type="dxa" w:w="2381"/>
            <w:shd w:fill="F3F6F8"/>
          </w:tcPr>
          <w:p>
            <w:pPr>
              <w:spacing w:after="0"/>
            </w:pPr>
            <w:r/>
            <w:r>
              <w:rPr>
                <w:rFonts w:ascii="Aptos" w:hAnsi="Aptos"/>
                <w:b w:val="0"/>
                <w:i w:val="0"/>
                <w:color w:val="1E252B"/>
                <w:sz w:val="16"/>
              </w:rPr>
              <w:t>Instant flours, soups, and blends.</w:t>
            </w:r>
          </w:p>
        </w:tc>
        <w:tc>
          <w:tcPr>
            <w:tcW w:type="dxa" w:w="2948"/>
            <w:shd w:fill="F3F6F8"/>
          </w:tcPr>
          <w:p>
            <w:pPr>
              <w:spacing w:after="0"/>
            </w:pPr>
            <w:r/>
            <w:r>
              <w:rPr>
                <w:rFonts w:ascii="Aptos" w:hAnsi="Aptos"/>
                <w:b w:val="0"/>
                <w:i w:val="0"/>
                <w:color w:val="1E252B"/>
                <w:sz w:val="16"/>
              </w:rPr>
              <w:t>Nutrition programs and private labels.</w:t>
            </w:r>
          </w:p>
        </w:tc>
        <w:tc>
          <w:tcPr>
            <w:tcW w:type="dxa" w:w="1701"/>
            <w:shd w:fill="F3F6F8"/>
          </w:tcPr>
          <w:p>
            <w:pPr>
              <w:spacing w:after="0"/>
            </w:pPr>
            <w:r/>
            <w:r>
              <w:rPr>
                <w:rFonts w:ascii="Aptos" w:hAnsi="Aptos"/>
                <w:b w:val="0"/>
                <w:i w:val="0"/>
                <w:color w:val="1E252B"/>
                <w:sz w:val="16"/>
              </w:rPr>
              <w:t>20%</w:t>
            </w:r>
          </w:p>
        </w:tc>
      </w:tr>
      <w:tr>
        <w:tc>
          <w:tcPr>
            <w:tcW w:type="dxa" w:w="2268"/>
            <w:shd w:fill="FFFFFF"/>
          </w:tcPr>
          <w:p>
            <w:pPr>
              <w:spacing w:after="0"/>
            </w:pPr>
            <w:r/>
            <w:r>
              <w:rPr>
                <w:rFonts w:ascii="Aptos" w:hAnsi="Aptos"/>
                <w:b w:val="0"/>
                <w:i w:val="0"/>
                <w:color w:val="1E252B"/>
                <w:sz w:val="16"/>
              </w:rPr>
              <w:t>Pet food / treats</w:t>
            </w:r>
          </w:p>
        </w:tc>
        <w:tc>
          <w:tcPr>
            <w:tcW w:type="dxa" w:w="2381"/>
            <w:shd w:fill="FFFFFF"/>
          </w:tcPr>
          <w:p>
            <w:pPr>
              <w:spacing w:after="0"/>
            </w:pPr>
            <w:r/>
            <w:r>
              <w:rPr>
                <w:rFonts w:ascii="Aptos" w:hAnsi="Aptos"/>
                <w:b w:val="0"/>
                <w:i w:val="0"/>
                <w:color w:val="1E252B"/>
                <w:sz w:val="16"/>
              </w:rPr>
              <w:t>Finished dry products or B2B intermediates.</w:t>
            </w:r>
          </w:p>
        </w:tc>
        <w:tc>
          <w:tcPr>
            <w:tcW w:type="dxa" w:w="2948"/>
            <w:shd w:fill="FFFFFF"/>
          </w:tcPr>
          <w:p>
            <w:pPr>
              <w:spacing w:after="0"/>
            </w:pPr>
            <w:r/>
            <w:r>
              <w:rPr>
                <w:rFonts w:ascii="Aptos" w:hAnsi="Aptos"/>
                <w:b w:val="0"/>
                <w:i w:val="0"/>
                <w:color w:val="1E252B"/>
                <w:sz w:val="16"/>
              </w:rPr>
              <w:t>Regional brands and retail chains.</w:t>
            </w:r>
          </w:p>
        </w:tc>
        <w:tc>
          <w:tcPr>
            <w:tcW w:type="dxa" w:w="1701"/>
            <w:shd w:fill="FFFFFF"/>
          </w:tcPr>
          <w:p>
            <w:pPr>
              <w:spacing w:after="0"/>
            </w:pPr>
            <w:r/>
            <w:r>
              <w:rPr>
                <w:rFonts w:ascii="Aptos" w:hAnsi="Aptos"/>
                <w:b w:val="0"/>
                <w:i w:val="0"/>
                <w:color w:val="1E252B"/>
                <w:sz w:val="16"/>
              </w:rPr>
              <w:t>20%</w:t>
            </w:r>
          </w:p>
        </w:tc>
      </w:tr>
      <w:tr>
        <w:tc>
          <w:tcPr>
            <w:tcW w:type="dxa" w:w="2268"/>
            <w:shd w:fill="F3F6F8"/>
          </w:tcPr>
          <w:p>
            <w:pPr>
              <w:spacing w:after="0"/>
            </w:pPr>
            <w:r/>
            <w:r>
              <w:rPr>
                <w:rFonts w:ascii="Aptos" w:hAnsi="Aptos"/>
                <w:b w:val="0"/>
                <w:i w:val="0"/>
                <w:color w:val="1E252B"/>
                <w:sz w:val="16"/>
              </w:rPr>
              <w:t>Aquaculture feed</w:t>
            </w:r>
          </w:p>
        </w:tc>
        <w:tc>
          <w:tcPr>
            <w:tcW w:type="dxa" w:w="2381"/>
            <w:shd w:fill="F3F6F8"/>
          </w:tcPr>
          <w:p>
            <w:pPr>
              <w:spacing w:after="0"/>
            </w:pPr>
            <w:r/>
            <w:r>
              <w:rPr>
                <w:rFonts w:ascii="Aptos" w:hAnsi="Aptos"/>
                <w:b w:val="0"/>
                <w:i w:val="0"/>
                <w:color w:val="1E252B"/>
                <w:sz w:val="16"/>
              </w:rPr>
              <w:t>Floating or sinking pellets.</w:t>
            </w:r>
          </w:p>
        </w:tc>
        <w:tc>
          <w:tcPr>
            <w:tcW w:type="dxa" w:w="2948"/>
            <w:shd w:fill="F3F6F8"/>
          </w:tcPr>
          <w:p>
            <w:pPr>
              <w:spacing w:after="0"/>
            </w:pPr>
            <w:r/>
            <w:r>
              <w:rPr>
                <w:rFonts w:ascii="Aptos" w:hAnsi="Aptos"/>
                <w:b w:val="0"/>
                <w:i w:val="0"/>
                <w:color w:val="1E252B"/>
                <w:sz w:val="16"/>
              </w:rPr>
              <w:t>Producers and distributors.</w:t>
            </w:r>
          </w:p>
        </w:tc>
        <w:tc>
          <w:tcPr>
            <w:tcW w:type="dxa" w:w="1701"/>
            <w:shd w:fill="F3F6F8"/>
          </w:tcPr>
          <w:p>
            <w:pPr>
              <w:spacing w:after="0"/>
            </w:pPr>
            <w:r/>
            <w:r>
              <w:rPr>
                <w:rFonts w:ascii="Aptos" w:hAnsi="Aptos"/>
                <w:b w:val="0"/>
                <w:i w:val="0"/>
                <w:color w:val="1E252B"/>
                <w:sz w:val="16"/>
              </w:rPr>
              <w:t>10%</w:t>
            </w:r>
          </w:p>
        </w:tc>
      </w:tr>
      <w:tr>
        <w:tc>
          <w:tcPr>
            <w:tcW w:type="dxa" w:w="2268"/>
            <w:shd w:fill="FFFFFF"/>
          </w:tcPr>
          <w:p>
            <w:pPr>
              <w:spacing w:after="0"/>
            </w:pPr>
            <w:r/>
            <w:r>
              <w:rPr>
                <w:rFonts w:ascii="Aptos" w:hAnsi="Aptos"/>
                <w:b w:val="0"/>
                <w:i w:val="0"/>
                <w:color w:val="1E252B"/>
                <w:sz w:val="16"/>
              </w:rPr>
              <w:t>Specialty feed</w:t>
            </w:r>
          </w:p>
        </w:tc>
        <w:tc>
          <w:tcPr>
            <w:tcW w:type="dxa" w:w="2381"/>
            <w:shd w:fill="FFFFFF"/>
          </w:tcPr>
          <w:p>
            <w:pPr>
              <w:spacing w:after="0"/>
            </w:pPr>
            <w:r/>
            <w:r>
              <w:rPr>
                <w:rFonts w:ascii="Aptos" w:hAnsi="Aptos"/>
                <w:b w:val="0"/>
                <w:i w:val="0"/>
                <w:color w:val="1E252B"/>
                <w:sz w:val="16"/>
              </w:rPr>
              <w:t>Poultry, swine, and calves.</w:t>
            </w:r>
          </w:p>
        </w:tc>
        <w:tc>
          <w:tcPr>
            <w:tcW w:type="dxa" w:w="2948"/>
            <w:shd w:fill="FFFFFF"/>
          </w:tcPr>
          <w:p>
            <w:pPr>
              <w:spacing w:after="0"/>
            </w:pPr>
            <w:r/>
            <w:r>
              <w:rPr>
                <w:rFonts w:ascii="Aptos" w:hAnsi="Aptos"/>
                <w:b w:val="0"/>
                <w:i w:val="0"/>
                <w:color w:val="1E252B"/>
                <w:sz w:val="16"/>
              </w:rPr>
              <w:t>Regional integrators.</w:t>
            </w:r>
          </w:p>
        </w:tc>
        <w:tc>
          <w:tcPr>
            <w:tcW w:type="dxa" w:w="1701"/>
            <w:shd w:fill="FFFFFF"/>
          </w:tcPr>
          <w:p>
            <w:pPr>
              <w:spacing w:after="0"/>
            </w:pPr>
            <w:r/>
            <w:r>
              <w:rPr>
                <w:rFonts w:ascii="Aptos" w:hAnsi="Aptos"/>
                <w:b w:val="0"/>
                <w:i w:val="0"/>
                <w:color w:val="1E252B"/>
                <w:sz w:val="16"/>
              </w:rPr>
              <w:t>10%</w:t>
            </w:r>
          </w:p>
        </w:tc>
      </w:tr>
      <w:tr>
        <w:tc>
          <w:tcPr>
            <w:tcW w:type="dxa" w:w="2268"/>
            <w:shd w:fill="F3F6F8"/>
          </w:tcPr>
          <w:p>
            <w:pPr>
              <w:spacing w:after="0"/>
            </w:pPr>
            <w:r/>
            <w:r>
              <w:rPr>
                <w:rFonts w:ascii="Aptos" w:hAnsi="Aptos"/>
                <w:b w:val="0"/>
                <w:i w:val="0"/>
                <w:color w:val="1E252B"/>
                <w:sz w:val="16"/>
              </w:rPr>
              <w:t>R&amp;D / toll manufacturing</w:t>
            </w:r>
          </w:p>
        </w:tc>
        <w:tc>
          <w:tcPr>
            <w:tcW w:type="dxa" w:w="2381"/>
            <w:shd w:fill="F3F6F8"/>
          </w:tcPr>
          <w:p>
            <w:pPr>
              <w:spacing w:after="0"/>
            </w:pPr>
            <w:r/>
            <w:r>
              <w:rPr>
                <w:rFonts w:ascii="Aptos" w:hAnsi="Aptos"/>
                <w:b w:val="0"/>
                <w:i w:val="0"/>
                <w:color w:val="1E252B"/>
                <w:sz w:val="16"/>
              </w:rPr>
              <w:t>Pilot and contract batches.</w:t>
            </w:r>
          </w:p>
        </w:tc>
        <w:tc>
          <w:tcPr>
            <w:tcW w:type="dxa" w:w="2948"/>
            <w:shd w:fill="F3F6F8"/>
          </w:tcPr>
          <w:p>
            <w:pPr>
              <w:spacing w:after="0"/>
            </w:pPr>
            <w:r/>
            <w:r>
              <w:rPr>
                <w:rFonts w:ascii="Aptos" w:hAnsi="Aptos"/>
                <w:b w:val="0"/>
                <w:i w:val="0"/>
                <w:color w:val="1E252B"/>
                <w:sz w:val="16"/>
              </w:rPr>
              <w:t>Startups, universities, SMEs.</w:t>
            </w:r>
          </w:p>
        </w:tc>
        <w:tc>
          <w:tcPr>
            <w:tcW w:type="dxa" w:w="1701"/>
            <w:shd w:fill="F3F6F8"/>
          </w:tcPr>
          <w:p>
            <w:pPr>
              <w:spacing w:after="0"/>
            </w:pPr>
            <w:r/>
            <w:r>
              <w:rPr>
                <w:rFonts w:ascii="Aptos" w:hAnsi="Aptos"/>
                <w:b w:val="0"/>
                <w:i w:val="0"/>
                <w:color w:val="1E252B"/>
                <w:sz w:val="16"/>
              </w:rPr>
              <w:t>5%</w:t>
            </w:r>
          </w:p>
        </w:tc>
      </w:tr>
    </w:tbl>
    <w:p/>
    <w:p>
      <w:pPr>
        <w:spacing w:after="120" w:line="271" w:lineRule="auto"/>
        <w:jc w:val="both"/>
      </w:pPr>
      <w:r>
        <w:rPr>
          <w:rFonts w:ascii="Aptos" w:hAnsi="Aptos"/>
          <w:b w:val="0"/>
          <w:i w:val="0"/>
          <w:color w:val="1E252B"/>
          <w:sz w:val="20"/>
        </w:rPr>
        <w:t>This mix deliberately differs from a conventional commodity-feed mill. It is designed to support the average selling price and margin required for quality systems, application development, certification, and export sales. Each SKU must have a technical specification, standard cost, minimum batch, shelf life, packaging specification, and approved destination market.</w:t>
      </w:r>
    </w:p>
    <w:p>
      <w:r>
        <w:br w:type="page"/>
      </w:r>
    </w:p>
    <w:p>
      <w:pPr>
        <w:spacing w:after="60"/>
      </w:pPr>
      <w:r>
        <w:rPr>
          <w:rFonts w:ascii="Aptos" w:hAnsi="Aptos"/>
          <w:b/>
          <w:i w:val="0"/>
          <w:color w:val="C5A253"/>
          <w:sz w:val="17"/>
        </w:rPr>
        <w:t>GO-TO-MARKET</w:t>
      </w:r>
    </w:p>
    <w:p>
      <w:pPr>
        <w:spacing w:after="200"/>
      </w:pPr>
      <w:r>
        <w:rPr>
          <w:rFonts w:ascii="Aptos" w:hAnsi="Aptos"/>
          <w:b/>
          <w:i w:val="0"/>
          <w:color w:val="0B1F3A"/>
          <w:sz w:val="40"/>
        </w:rPr>
        <w:t>Market Access and Competitive Position</w:t>
      </w:r>
    </w:p>
    <w:p>
      <w:pPr>
        <w:spacing w:after="120" w:line="271" w:lineRule="auto"/>
        <w:jc w:val="both"/>
      </w:pPr>
      <w:r>
        <w:rPr>
          <w:rFonts w:ascii="Aptos" w:hAnsi="Aptos"/>
          <w:b w:val="0"/>
          <w:i w:val="0"/>
          <w:color w:val="1E252B"/>
          <w:sz w:val="20"/>
        </w:rPr>
        <w:t>Relevant competitors include oilseed processors with captive soy meal, integrated feed manufacturers, B2B extruders, pet-food manufacturers, and international TVP suppliers. Buying an extruder is not the main barrier; the durable capabilities are formulation, stable operation, drying, flavor, food safety, and repeat sales.</w:t>
      </w:r>
    </w:p>
    <w:tbl>
      <w:tblPr>
        <w:tblW w:type="auto" w:w="0"/>
        <w:jc w:val="center"/>
        <w:tblLayout w:type="fixed"/>
        <w:tblLook w:firstColumn="1" w:firstRow="1" w:lastColumn="0" w:lastRow="0" w:noHBand="0" w:noVBand="1" w:val="04A0"/>
      </w:tblPr>
      <w:tblGrid>
        <w:gridCol w:w="2367"/>
        <w:gridCol w:w="2367"/>
        <w:gridCol w:w="2367"/>
        <w:gridCol w:w="2367"/>
      </w:tblGrid>
      <w:tr>
        <w:tc>
          <w:tcPr>
            <w:tcW w:type="dxa" w:w="1871"/>
            <w:shd w:fill="0B1F3A"/>
          </w:tcPr>
          <w:p>
            <w:pPr>
              <w:spacing w:after="0"/>
            </w:pPr>
            <w:r/>
            <w:r>
              <w:rPr>
                <w:rFonts w:ascii="Aptos" w:hAnsi="Aptos"/>
                <w:b/>
                <w:i w:val="0"/>
                <w:color w:val="FFFFFF"/>
                <w:sz w:val="16"/>
              </w:rPr>
              <w:t>Channel</w:t>
            </w:r>
          </w:p>
        </w:tc>
        <w:tc>
          <w:tcPr>
            <w:tcW w:type="dxa" w:w="2835"/>
            <w:shd w:fill="0B1F3A"/>
          </w:tcPr>
          <w:p>
            <w:pPr>
              <w:spacing w:after="0"/>
            </w:pPr>
            <w:r/>
            <w:r>
              <w:rPr>
                <w:rFonts w:ascii="Aptos" w:hAnsi="Aptos"/>
                <w:b/>
                <w:i w:val="0"/>
                <w:color w:val="FFFFFF"/>
                <w:sz w:val="16"/>
              </w:rPr>
              <w:t>Value proposition</w:t>
            </w:r>
          </w:p>
        </w:tc>
        <w:tc>
          <w:tcPr>
            <w:tcW w:type="dxa" w:w="2835"/>
            <w:shd w:fill="0B1F3A"/>
          </w:tcPr>
          <w:p>
            <w:pPr>
              <w:spacing w:after="0"/>
            </w:pPr>
            <w:r/>
            <w:r>
              <w:rPr>
                <w:rFonts w:ascii="Aptos" w:hAnsi="Aptos"/>
                <w:b/>
                <w:i w:val="0"/>
                <w:color w:val="FFFFFF"/>
                <w:sz w:val="16"/>
              </w:rPr>
              <w:t>Commercial condition</w:t>
            </w:r>
          </w:p>
        </w:tc>
        <w:tc>
          <w:tcPr>
            <w:tcW w:type="dxa" w:w="2041"/>
            <w:shd w:fill="0B1F3A"/>
          </w:tcPr>
          <w:p>
            <w:pPr>
              <w:spacing w:after="0"/>
            </w:pPr>
            <w:r/>
            <w:r>
              <w:rPr>
                <w:rFonts w:ascii="Aptos" w:hAnsi="Aptos"/>
                <w:b/>
                <w:i w:val="0"/>
                <w:color w:val="FFFFFF"/>
                <w:sz w:val="16"/>
              </w:rPr>
              <w:t>Primary risk</w:t>
            </w:r>
          </w:p>
        </w:tc>
      </w:tr>
      <w:tr>
        <w:tc>
          <w:tcPr>
            <w:tcW w:type="dxa" w:w="1871"/>
            <w:shd w:fill="FFFFFF"/>
          </w:tcPr>
          <w:p>
            <w:pPr>
              <w:spacing w:after="0"/>
            </w:pPr>
            <w:r/>
            <w:r>
              <w:rPr>
                <w:rFonts w:ascii="Aptos" w:hAnsi="Aptos"/>
                <w:b w:val="0"/>
                <w:i w:val="0"/>
                <w:color w:val="1E252B"/>
                <w:sz w:val="16"/>
              </w:rPr>
              <w:t>Human-food B2B</w:t>
            </w:r>
          </w:p>
        </w:tc>
        <w:tc>
          <w:tcPr>
            <w:tcW w:type="dxa" w:w="2835"/>
            <w:shd w:fill="FFFFFF"/>
          </w:tcPr>
          <w:p>
            <w:pPr>
              <w:spacing w:after="0"/>
            </w:pPr>
            <w:r/>
            <w:r>
              <w:rPr>
                <w:rFonts w:ascii="Aptos" w:hAnsi="Aptos"/>
                <w:b w:val="0"/>
                <w:i w:val="0"/>
                <w:color w:val="1E252B"/>
                <w:sz w:val="16"/>
              </w:rPr>
              <w:t>Consistent, traceable, adaptable ingredients.</w:t>
            </w:r>
          </w:p>
        </w:tc>
        <w:tc>
          <w:tcPr>
            <w:tcW w:type="dxa" w:w="2835"/>
            <w:shd w:fill="FFFFFF"/>
          </w:tcPr>
          <w:p>
            <w:pPr>
              <w:spacing w:after="0"/>
            </w:pPr>
            <w:r/>
            <w:r>
              <w:rPr>
                <w:rFonts w:ascii="Aptos" w:hAnsi="Aptos"/>
                <w:b w:val="0"/>
                <w:i w:val="0"/>
                <w:color w:val="1E252B"/>
                <w:sz w:val="16"/>
              </w:rPr>
              <w:t>6–12 month contracts and specification control.</w:t>
            </w:r>
          </w:p>
        </w:tc>
        <w:tc>
          <w:tcPr>
            <w:tcW w:type="dxa" w:w="2041"/>
            <w:shd w:fill="FFFFFF"/>
          </w:tcPr>
          <w:p>
            <w:pPr>
              <w:spacing w:after="0"/>
            </w:pPr>
            <w:r/>
            <w:r>
              <w:rPr>
                <w:rFonts w:ascii="Aptos" w:hAnsi="Aptos"/>
                <w:b w:val="0"/>
                <w:i w:val="0"/>
                <w:color w:val="1E252B"/>
                <w:sz w:val="16"/>
              </w:rPr>
              <w:t>Long qualification cycle.</w:t>
            </w:r>
          </w:p>
        </w:tc>
      </w:tr>
      <w:tr>
        <w:tc>
          <w:tcPr>
            <w:tcW w:type="dxa" w:w="1871"/>
            <w:shd w:fill="F3F6F8"/>
          </w:tcPr>
          <w:p>
            <w:pPr>
              <w:spacing w:after="0"/>
            </w:pPr>
            <w:r/>
            <w:r>
              <w:rPr>
                <w:rFonts w:ascii="Aptos" w:hAnsi="Aptos"/>
                <w:b w:val="0"/>
                <w:i w:val="0"/>
                <w:color w:val="1E252B"/>
                <w:sz w:val="16"/>
              </w:rPr>
              <w:t>Private label</w:t>
            </w:r>
          </w:p>
        </w:tc>
        <w:tc>
          <w:tcPr>
            <w:tcW w:type="dxa" w:w="2835"/>
            <w:shd w:fill="F3F6F8"/>
          </w:tcPr>
          <w:p>
            <w:pPr>
              <w:spacing w:after="0"/>
            </w:pPr>
            <w:r/>
            <w:r>
              <w:rPr>
                <w:rFonts w:ascii="Aptos" w:hAnsi="Aptos"/>
                <w:b w:val="0"/>
                <w:i w:val="0"/>
                <w:color w:val="1E252B"/>
                <w:sz w:val="16"/>
              </w:rPr>
              <w:t>Finished product without customer CAPEX.</w:t>
            </w:r>
          </w:p>
        </w:tc>
        <w:tc>
          <w:tcPr>
            <w:tcW w:type="dxa" w:w="2835"/>
            <w:shd w:fill="F3F6F8"/>
          </w:tcPr>
          <w:p>
            <w:pPr>
              <w:spacing w:after="0"/>
            </w:pPr>
            <w:r/>
            <w:r>
              <w:rPr>
                <w:rFonts w:ascii="Aptos" w:hAnsi="Aptos"/>
                <w:b w:val="0"/>
                <w:i w:val="0"/>
                <w:color w:val="1E252B"/>
                <w:sz w:val="16"/>
              </w:rPr>
              <w:t>MOQ, advance payment, formulation ownership.</w:t>
            </w:r>
          </w:p>
        </w:tc>
        <w:tc>
          <w:tcPr>
            <w:tcW w:type="dxa" w:w="2041"/>
            <w:shd w:fill="F3F6F8"/>
          </w:tcPr>
          <w:p>
            <w:pPr>
              <w:spacing w:after="0"/>
            </w:pPr>
            <w:r/>
            <w:r>
              <w:rPr>
                <w:rFonts w:ascii="Aptos" w:hAnsi="Aptos"/>
                <w:b w:val="0"/>
                <w:i w:val="0"/>
                <w:color w:val="1E252B"/>
                <w:sz w:val="16"/>
              </w:rPr>
              <w:t>Customer concentration.</w:t>
            </w:r>
          </w:p>
        </w:tc>
      </w:tr>
      <w:tr>
        <w:tc>
          <w:tcPr>
            <w:tcW w:type="dxa" w:w="1871"/>
            <w:shd w:fill="FFFFFF"/>
          </w:tcPr>
          <w:p>
            <w:pPr>
              <w:spacing w:after="0"/>
            </w:pPr>
            <w:r/>
            <w:r>
              <w:rPr>
                <w:rFonts w:ascii="Aptos" w:hAnsi="Aptos"/>
                <w:b w:val="0"/>
                <w:i w:val="0"/>
                <w:color w:val="1E252B"/>
                <w:sz w:val="16"/>
              </w:rPr>
              <w:t>Institutional</w:t>
            </w:r>
          </w:p>
        </w:tc>
        <w:tc>
          <w:tcPr>
            <w:tcW w:type="dxa" w:w="2835"/>
            <w:shd w:fill="FFFFFF"/>
          </w:tcPr>
          <w:p>
            <w:pPr>
              <w:spacing w:after="0"/>
            </w:pPr>
            <w:r/>
            <w:r>
              <w:rPr>
                <w:rFonts w:ascii="Aptos" w:hAnsi="Aptos"/>
                <w:b w:val="0"/>
                <w:i w:val="0"/>
                <w:color w:val="1E252B"/>
                <w:sz w:val="16"/>
              </w:rPr>
              <w:t>Fortified nutrition at competitive cost.</w:t>
            </w:r>
          </w:p>
        </w:tc>
        <w:tc>
          <w:tcPr>
            <w:tcW w:type="dxa" w:w="2835"/>
            <w:shd w:fill="FFFFFF"/>
          </w:tcPr>
          <w:p>
            <w:pPr>
              <w:spacing w:after="0"/>
            </w:pPr>
            <w:r/>
            <w:r>
              <w:rPr>
                <w:rFonts w:ascii="Aptos" w:hAnsi="Aptos"/>
                <w:b w:val="0"/>
                <w:i w:val="0"/>
                <w:color w:val="1E252B"/>
                <w:sz w:val="16"/>
              </w:rPr>
              <w:t>Tender compliance and scheduled deliveries.</w:t>
            </w:r>
          </w:p>
        </w:tc>
        <w:tc>
          <w:tcPr>
            <w:tcW w:type="dxa" w:w="2041"/>
            <w:shd w:fill="FFFFFF"/>
          </w:tcPr>
          <w:p>
            <w:pPr>
              <w:spacing w:after="0"/>
            </w:pPr>
            <w:r/>
            <w:r>
              <w:rPr>
                <w:rFonts w:ascii="Aptos" w:hAnsi="Aptos"/>
                <w:b w:val="0"/>
                <w:i w:val="0"/>
                <w:color w:val="1E252B"/>
                <w:sz w:val="16"/>
              </w:rPr>
              <w:t>Payment and policy risk.</w:t>
            </w:r>
          </w:p>
        </w:tc>
      </w:tr>
      <w:tr>
        <w:tc>
          <w:tcPr>
            <w:tcW w:type="dxa" w:w="1871"/>
            <w:shd w:fill="F3F6F8"/>
          </w:tcPr>
          <w:p>
            <w:pPr>
              <w:spacing w:after="0"/>
            </w:pPr>
            <w:r/>
            <w:r>
              <w:rPr>
                <w:rFonts w:ascii="Aptos" w:hAnsi="Aptos"/>
                <w:b w:val="0"/>
                <w:i w:val="0"/>
                <w:color w:val="1E252B"/>
                <w:sz w:val="16"/>
              </w:rPr>
              <w:t>Regional export</w:t>
            </w:r>
          </w:p>
        </w:tc>
        <w:tc>
          <w:tcPr>
            <w:tcW w:type="dxa" w:w="2835"/>
            <w:shd w:fill="F3F6F8"/>
          </w:tcPr>
          <w:p>
            <w:pPr>
              <w:spacing w:after="0"/>
            </w:pPr>
            <w:r/>
            <w:r>
              <w:rPr>
                <w:rFonts w:ascii="Aptos" w:hAnsi="Aptos"/>
                <w:b w:val="0"/>
                <w:i w:val="0"/>
                <w:color w:val="1E252B"/>
                <w:sz w:val="16"/>
              </w:rPr>
              <w:t>FOB/CFR documentation and certification.</w:t>
            </w:r>
          </w:p>
        </w:tc>
        <w:tc>
          <w:tcPr>
            <w:tcW w:type="dxa" w:w="2835"/>
            <w:shd w:fill="F3F6F8"/>
          </w:tcPr>
          <w:p>
            <w:pPr>
              <w:spacing w:after="0"/>
            </w:pPr>
            <w:r/>
            <w:r>
              <w:rPr>
                <w:rFonts w:ascii="Aptos" w:hAnsi="Aptos"/>
                <w:b w:val="0"/>
                <w:i w:val="0"/>
                <w:color w:val="1E252B"/>
                <w:sz w:val="16"/>
              </w:rPr>
              <w:t>Anchor importer or distributor.</w:t>
            </w:r>
          </w:p>
        </w:tc>
        <w:tc>
          <w:tcPr>
            <w:tcW w:type="dxa" w:w="2041"/>
            <w:shd w:fill="F3F6F8"/>
          </w:tcPr>
          <w:p>
            <w:pPr>
              <w:spacing w:after="0"/>
            </w:pPr>
            <w:r/>
            <w:r>
              <w:rPr>
                <w:rFonts w:ascii="Aptos" w:hAnsi="Aptos"/>
                <w:b w:val="0"/>
                <w:i w:val="0"/>
                <w:color w:val="1E252B"/>
                <w:sz w:val="16"/>
              </w:rPr>
              <w:t>Country-by-country registration.</w:t>
            </w:r>
          </w:p>
        </w:tc>
      </w:tr>
      <w:tr>
        <w:tc>
          <w:tcPr>
            <w:tcW w:type="dxa" w:w="1871"/>
            <w:shd w:fill="FFFFFF"/>
          </w:tcPr>
          <w:p>
            <w:pPr>
              <w:spacing w:after="0"/>
            </w:pPr>
            <w:r/>
            <w:r>
              <w:rPr>
                <w:rFonts w:ascii="Aptos" w:hAnsi="Aptos"/>
                <w:b w:val="0"/>
                <w:i w:val="0"/>
                <w:color w:val="1E252B"/>
                <w:sz w:val="16"/>
              </w:rPr>
              <w:t>Toll manufacturing</w:t>
            </w:r>
          </w:p>
        </w:tc>
        <w:tc>
          <w:tcPr>
            <w:tcW w:type="dxa" w:w="2835"/>
            <w:shd w:fill="FFFFFF"/>
          </w:tcPr>
          <w:p>
            <w:pPr>
              <w:spacing w:after="0"/>
            </w:pPr>
            <w:r/>
            <w:r>
              <w:rPr>
                <w:rFonts w:ascii="Aptos" w:hAnsi="Aptos"/>
                <w:b w:val="0"/>
                <w:i w:val="0"/>
                <w:color w:val="1E252B"/>
                <w:sz w:val="16"/>
              </w:rPr>
              <w:t>Capacity utilization and learning.</w:t>
            </w:r>
          </w:p>
        </w:tc>
        <w:tc>
          <w:tcPr>
            <w:tcW w:type="dxa" w:w="2835"/>
            <w:shd w:fill="FFFFFF"/>
          </w:tcPr>
          <w:p>
            <w:pPr>
              <w:spacing w:after="0"/>
            </w:pPr>
            <w:r/>
            <w:r>
              <w:rPr>
                <w:rFonts w:ascii="Aptos" w:hAnsi="Aptos"/>
                <w:b w:val="0"/>
                <w:i w:val="0"/>
                <w:color w:val="1E252B"/>
                <w:sz w:val="16"/>
              </w:rPr>
              <w:t>Reserved capacity plus cleaning/changeover fees.</w:t>
            </w:r>
          </w:p>
        </w:tc>
        <w:tc>
          <w:tcPr>
            <w:tcW w:type="dxa" w:w="2041"/>
            <w:shd w:fill="FFFFFF"/>
          </w:tcPr>
          <w:p>
            <w:pPr>
              <w:spacing w:after="0"/>
            </w:pPr>
            <w:r/>
            <w:r>
              <w:rPr>
                <w:rFonts w:ascii="Aptos" w:hAnsi="Aptos"/>
                <w:b w:val="0"/>
                <w:i w:val="0"/>
                <w:color w:val="1E252B"/>
                <w:sz w:val="16"/>
              </w:rPr>
              <w:t>Cross-contamination.</w:t>
            </w:r>
          </w:p>
        </w:tc>
      </w:tr>
    </w:tbl>
    <w:p/>
    <w:tbl>
      <w:tblPr>
        <w:tblW w:type="auto" w:w="0"/>
        <w:tblLook w:firstColumn="1" w:firstRow="1" w:lastColumn="0" w:lastRow="0" w:noHBand="0" w:noVBand="1" w:val="04A0"/>
      </w:tblPr>
      <w:tblGrid>
        <w:gridCol w:w="9468"/>
      </w:tblGrid>
      <w:tr>
        <w:tc>
          <w:tcPr>
            <w:tcW w:type="dxa" w:w="9468"/>
            <w:shd w:fill="F7F3E8"/>
          </w:tcPr>
          <w:p>
            <w:r/>
            <w:r>
              <w:rPr>
                <w:rFonts w:ascii="Aptos" w:hAnsi="Aptos"/>
                <w:b/>
                <w:i w:val="0"/>
                <w:color w:val="C5A253"/>
                <w:sz w:val="20"/>
              </w:rPr>
              <w:t>COMMERCIAL DISCIPLINE</w:t>
              <w:br/>
            </w:r>
            <w:r>
              <w:rPr>
                <w:rFonts w:ascii="Aptos" w:hAnsi="Aptos"/>
                <w:b w:val="0"/>
                <w:i w:val="0"/>
                <w:color w:val="1E252B"/>
                <w:sz w:val="19"/>
              </w:rPr>
              <w:t>Before financial close: letters of intent for at least 18,000 t/y, no customer above 25% of sales, contribution-margin floor by SKU, and contractual pass-through of extraordinary raw-material movements.</w:t>
            </w:r>
          </w:p>
        </w:tc>
      </w:tr>
    </w:tbl>
    <w:p/>
    <w:p>
      <w:r>
        <w:br w:type="page"/>
      </w:r>
    </w:p>
    <w:p>
      <w:pPr>
        <w:spacing w:after="60"/>
      </w:pPr>
      <w:r>
        <w:rPr>
          <w:rFonts w:ascii="Aptos" w:hAnsi="Aptos"/>
          <w:b/>
          <w:i w:val="0"/>
          <w:color w:val="C5A253"/>
          <w:sz w:val="17"/>
        </w:rPr>
        <w:t>ARGENTINA</w:t>
      </w:r>
    </w:p>
    <w:p>
      <w:pPr>
        <w:spacing w:after="200"/>
      </w:pPr>
      <w:r>
        <w:rPr>
          <w:rFonts w:ascii="Aptos" w:hAnsi="Aptos"/>
          <w:b/>
          <w:i w:val="0"/>
          <w:color w:val="0B1F3A"/>
          <w:sz w:val="40"/>
        </w:rPr>
        <w:t>Regional Location Comparison</w:t>
      </w:r>
    </w:p>
    <w:tbl>
      <w:tblPr>
        <w:tblW w:type="auto" w:w="0"/>
        <w:jc w:val="center"/>
        <w:tblLayout w:type="fixed"/>
        <w:tblLook w:firstColumn="1" w:firstRow="1" w:lastColumn="0" w:lastRow="0" w:noHBand="0" w:noVBand="1" w:val="04A0"/>
      </w:tblPr>
      <w:tblGrid>
        <w:gridCol w:w="2367"/>
        <w:gridCol w:w="2367"/>
        <w:gridCol w:w="2367"/>
        <w:gridCol w:w="2367"/>
      </w:tblGrid>
      <w:tr>
        <w:tc>
          <w:tcPr>
            <w:tcW w:type="dxa" w:w="2381"/>
            <w:shd w:fill="0B1F3A"/>
          </w:tcPr>
          <w:p>
            <w:pPr>
              <w:spacing w:after="0"/>
            </w:pPr>
            <w:r/>
            <w:r>
              <w:rPr>
                <w:rFonts w:ascii="Aptos" w:hAnsi="Aptos"/>
                <w:b/>
                <w:i w:val="0"/>
                <w:color w:val="FFFFFF"/>
                <w:sz w:val="16"/>
              </w:rPr>
              <w:t>Criterion (weight)</w:t>
            </w:r>
          </w:p>
        </w:tc>
        <w:tc>
          <w:tcPr>
            <w:tcW w:type="dxa" w:w="2324"/>
            <w:shd w:fill="0B1F3A"/>
          </w:tcPr>
          <w:p>
            <w:pPr>
              <w:spacing w:after="0"/>
            </w:pPr>
            <w:r/>
            <w:r>
              <w:rPr>
                <w:rFonts w:ascii="Aptos" w:hAnsi="Aptos"/>
                <w:b/>
                <w:i w:val="0"/>
                <w:color w:val="FFFFFF"/>
                <w:sz w:val="16"/>
              </w:rPr>
              <w:t>Greater Rosario</w:t>
            </w:r>
          </w:p>
        </w:tc>
        <w:tc>
          <w:tcPr>
            <w:tcW w:type="dxa" w:w="2324"/>
            <w:shd w:fill="0B1F3A"/>
          </w:tcPr>
          <w:p>
            <w:pPr>
              <w:spacing w:after="0"/>
            </w:pPr>
            <w:r/>
            <w:r>
              <w:rPr>
                <w:rFonts w:ascii="Aptos" w:hAnsi="Aptos"/>
                <w:b/>
                <w:i w:val="0"/>
                <w:color w:val="FFFFFF"/>
                <w:sz w:val="16"/>
              </w:rPr>
              <w:t>Córdoba</w:t>
            </w:r>
          </w:p>
        </w:tc>
        <w:tc>
          <w:tcPr>
            <w:tcW w:type="dxa" w:w="2324"/>
            <w:shd w:fill="0B1F3A"/>
          </w:tcPr>
          <w:p>
            <w:pPr>
              <w:spacing w:after="0"/>
            </w:pPr>
            <w:r/>
            <w:r>
              <w:rPr>
                <w:rFonts w:ascii="Aptos" w:hAnsi="Aptos"/>
                <w:b/>
                <w:i w:val="0"/>
                <w:color w:val="FFFFFF"/>
                <w:sz w:val="16"/>
              </w:rPr>
              <w:t>Tucumán</w:t>
            </w:r>
          </w:p>
        </w:tc>
      </w:tr>
      <w:tr>
        <w:tc>
          <w:tcPr>
            <w:tcW w:type="dxa" w:w="2381"/>
            <w:shd w:fill="FFFFFF"/>
          </w:tcPr>
          <w:p>
            <w:pPr>
              <w:spacing w:after="0"/>
            </w:pPr>
            <w:r/>
            <w:r>
              <w:rPr>
                <w:rFonts w:ascii="Aptos" w:hAnsi="Aptos"/>
                <w:b w:val="0"/>
                <w:i w:val="0"/>
                <w:color w:val="1E252B"/>
                <w:sz w:val="16"/>
              </w:rPr>
              <w:t>Raw materials (25%)</w:t>
            </w:r>
          </w:p>
        </w:tc>
        <w:tc>
          <w:tcPr>
            <w:tcW w:type="dxa" w:w="2324"/>
            <w:shd w:fill="FFFFFF"/>
          </w:tcPr>
          <w:p>
            <w:pPr>
              <w:spacing w:after="0"/>
            </w:pPr>
            <w:r/>
            <w:r>
              <w:rPr>
                <w:rFonts w:ascii="Aptos" w:hAnsi="Aptos"/>
                <w:b w:val="0"/>
                <w:i w:val="0"/>
                <w:color w:val="1E252B"/>
                <w:sz w:val="16"/>
              </w:rPr>
              <w:t>5 - soybean/corn cluster</w:t>
            </w:r>
          </w:p>
        </w:tc>
        <w:tc>
          <w:tcPr>
            <w:tcW w:type="dxa" w:w="2324"/>
            <w:shd w:fill="FFFFFF"/>
          </w:tcPr>
          <w:p>
            <w:pPr>
              <w:spacing w:after="0"/>
            </w:pPr>
            <w:r/>
            <w:r>
              <w:rPr>
                <w:rFonts w:ascii="Aptos" w:hAnsi="Aptos"/>
                <w:b w:val="0"/>
                <w:i w:val="0"/>
                <w:color w:val="1E252B"/>
                <w:sz w:val="16"/>
              </w:rPr>
              <w:t>4 - corn and feed base</w:t>
            </w:r>
          </w:p>
        </w:tc>
        <w:tc>
          <w:tcPr>
            <w:tcW w:type="dxa" w:w="2324"/>
            <w:shd w:fill="FFFFFF"/>
          </w:tcPr>
          <w:p>
            <w:pPr>
              <w:spacing w:after="0"/>
            </w:pPr>
            <w:r/>
            <w:r>
              <w:rPr>
                <w:rFonts w:ascii="Aptos" w:hAnsi="Aptos"/>
                <w:b w:val="0"/>
                <w:i w:val="0"/>
                <w:color w:val="1E252B"/>
                <w:sz w:val="16"/>
              </w:rPr>
              <w:t>3 - longer soy freight</w:t>
            </w:r>
          </w:p>
        </w:tc>
      </w:tr>
      <w:tr>
        <w:tc>
          <w:tcPr>
            <w:tcW w:type="dxa" w:w="2381"/>
            <w:shd w:fill="F3F6F8"/>
          </w:tcPr>
          <w:p>
            <w:pPr>
              <w:spacing w:after="0"/>
            </w:pPr>
            <w:r/>
            <w:r>
              <w:rPr>
                <w:rFonts w:ascii="Aptos" w:hAnsi="Aptos"/>
                <w:b w:val="0"/>
                <w:i w:val="0"/>
                <w:color w:val="1E252B"/>
                <w:sz w:val="16"/>
              </w:rPr>
              <w:t>Exports (20%)</w:t>
            </w:r>
          </w:p>
        </w:tc>
        <w:tc>
          <w:tcPr>
            <w:tcW w:type="dxa" w:w="2324"/>
            <w:shd w:fill="F3F6F8"/>
          </w:tcPr>
          <w:p>
            <w:pPr>
              <w:spacing w:after="0"/>
            </w:pPr>
            <w:r/>
            <w:r>
              <w:rPr>
                <w:rFonts w:ascii="Aptos" w:hAnsi="Aptos"/>
                <w:b w:val="0"/>
                <w:i w:val="0"/>
                <w:color w:val="1E252B"/>
                <w:sz w:val="16"/>
              </w:rPr>
              <w:t>5 - Paraná terminals</w:t>
            </w:r>
          </w:p>
        </w:tc>
        <w:tc>
          <w:tcPr>
            <w:tcW w:type="dxa" w:w="2324"/>
            <w:shd w:fill="F3F6F8"/>
          </w:tcPr>
          <w:p>
            <w:pPr>
              <w:spacing w:after="0"/>
            </w:pPr>
            <w:r/>
            <w:r>
              <w:rPr>
                <w:rFonts w:ascii="Aptos" w:hAnsi="Aptos"/>
                <w:b w:val="0"/>
                <w:i w:val="0"/>
                <w:color w:val="1E252B"/>
                <w:sz w:val="16"/>
              </w:rPr>
              <w:t>3 - inland transfer</w:t>
            </w:r>
          </w:p>
        </w:tc>
        <w:tc>
          <w:tcPr>
            <w:tcW w:type="dxa" w:w="2324"/>
            <w:shd w:fill="F3F6F8"/>
          </w:tcPr>
          <w:p>
            <w:pPr>
              <w:spacing w:after="0"/>
            </w:pPr>
            <w:r/>
            <w:r>
              <w:rPr>
                <w:rFonts w:ascii="Aptos" w:hAnsi="Aptos"/>
                <w:b w:val="0"/>
                <w:i w:val="0"/>
                <w:color w:val="1E252B"/>
                <w:sz w:val="16"/>
              </w:rPr>
              <w:t>2 - long port distance</w:t>
            </w:r>
          </w:p>
        </w:tc>
      </w:tr>
      <w:tr>
        <w:tc>
          <w:tcPr>
            <w:tcW w:type="dxa" w:w="2381"/>
            <w:shd w:fill="FFFFFF"/>
          </w:tcPr>
          <w:p>
            <w:pPr>
              <w:spacing w:after="0"/>
            </w:pPr>
            <w:r/>
            <w:r>
              <w:rPr>
                <w:rFonts w:ascii="Aptos" w:hAnsi="Aptos"/>
                <w:b w:val="0"/>
                <w:i w:val="0"/>
                <w:color w:val="1E252B"/>
                <w:sz w:val="16"/>
              </w:rPr>
              <w:t>Industrial market (15%)</w:t>
            </w:r>
          </w:p>
        </w:tc>
        <w:tc>
          <w:tcPr>
            <w:tcW w:type="dxa" w:w="2324"/>
            <w:shd w:fill="FFFFFF"/>
          </w:tcPr>
          <w:p>
            <w:pPr>
              <w:spacing w:after="0"/>
            </w:pPr>
            <w:r/>
            <w:r>
              <w:rPr>
                <w:rFonts w:ascii="Aptos" w:hAnsi="Aptos"/>
                <w:b w:val="0"/>
                <w:i w:val="0"/>
                <w:color w:val="1E252B"/>
                <w:sz w:val="16"/>
              </w:rPr>
              <w:t>5</w:t>
            </w:r>
          </w:p>
        </w:tc>
        <w:tc>
          <w:tcPr>
            <w:tcW w:type="dxa" w:w="2324"/>
            <w:shd w:fill="FFFFFF"/>
          </w:tcPr>
          <w:p>
            <w:pPr>
              <w:spacing w:after="0"/>
            </w:pPr>
            <w:r/>
            <w:r>
              <w:rPr>
                <w:rFonts w:ascii="Aptos" w:hAnsi="Aptos"/>
                <w:b w:val="0"/>
                <w:i w:val="0"/>
                <w:color w:val="1E252B"/>
                <w:sz w:val="16"/>
              </w:rPr>
              <w:t>4</w:t>
            </w:r>
          </w:p>
        </w:tc>
        <w:tc>
          <w:tcPr>
            <w:tcW w:type="dxa" w:w="2324"/>
            <w:shd w:fill="FFFFFF"/>
          </w:tcPr>
          <w:p>
            <w:pPr>
              <w:spacing w:after="0"/>
            </w:pPr>
            <w:r/>
            <w:r>
              <w:rPr>
                <w:rFonts w:ascii="Aptos" w:hAnsi="Aptos"/>
                <w:b w:val="0"/>
                <w:i w:val="0"/>
                <w:color w:val="1E252B"/>
                <w:sz w:val="16"/>
              </w:rPr>
              <w:t>3</w:t>
            </w:r>
          </w:p>
        </w:tc>
      </w:tr>
      <w:tr>
        <w:tc>
          <w:tcPr>
            <w:tcW w:type="dxa" w:w="2381"/>
            <w:shd w:fill="F3F6F8"/>
          </w:tcPr>
          <w:p>
            <w:pPr>
              <w:spacing w:after="0"/>
            </w:pPr>
            <w:r/>
            <w:r>
              <w:rPr>
                <w:rFonts w:ascii="Aptos" w:hAnsi="Aptos"/>
                <w:b w:val="0"/>
                <w:i w:val="0"/>
                <w:color w:val="1E252B"/>
                <w:sz w:val="16"/>
              </w:rPr>
              <w:t>Utilities (15%)</w:t>
            </w:r>
          </w:p>
        </w:tc>
        <w:tc>
          <w:tcPr>
            <w:tcW w:type="dxa" w:w="2324"/>
            <w:shd w:fill="F3F6F8"/>
          </w:tcPr>
          <w:p>
            <w:pPr>
              <w:spacing w:after="0"/>
            </w:pPr>
            <w:r/>
            <w:r>
              <w:rPr>
                <w:rFonts w:ascii="Aptos" w:hAnsi="Aptos"/>
                <w:b w:val="0"/>
                <w:i w:val="0"/>
                <w:color w:val="1E252B"/>
                <w:sz w:val="16"/>
              </w:rPr>
              <w:t>4</w:t>
            </w:r>
          </w:p>
        </w:tc>
        <w:tc>
          <w:tcPr>
            <w:tcW w:type="dxa" w:w="2324"/>
            <w:shd w:fill="F3F6F8"/>
          </w:tcPr>
          <w:p>
            <w:pPr>
              <w:spacing w:after="0"/>
            </w:pPr>
            <w:r/>
            <w:r>
              <w:rPr>
                <w:rFonts w:ascii="Aptos" w:hAnsi="Aptos"/>
                <w:b w:val="0"/>
                <w:i w:val="0"/>
                <w:color w:val="1E252B"/>
                <w:sz w:val="16"/>
              </w:rPr>
              <w:t>4</w:t>
            </w:r>
          </w:p>
        </w:tc>
        <w:tc>
          <w:tcPr>
            <w:tcW w:type="dxa" w:w="2324"/>
            <w:shd w:fill="F3F6F8"/>
          </w:tcPr>
          <w:p>
            <w:pPr>
              <w:spacing w:after="0"/>
            </w:pPr>
            <w:r/>
            <w:r>
              <w:rPr>
                <w:rFonts w:ascii="Aptos" w:hAnsi="Aptos"/>
                <w:b w:val="0"/>
                <w:i w:val="0"/>
                <w:color w:val="1E252B"/>
                <w:sz w:val="16"/>
              </w:rPr>
              <w:t>3 - site verification</w:t>
            </w:r>
          </w:p>
        </w:tc>
      </w:tr>
      <w:tr>
        <w:tc>
          <w:tcPr>
            <w:tcW w:type="dxa" w:w="2381"/>
            <w:shd w:fill="FFFFFF"/>
          </w:tcPr>
          <w:p>
            <w:pPr>
              <w:spacing w:after="0"/>
            </w:pPr>
            <w:r/>
            <w:r>
              <w:rPr>
                <w:rFonts w:ascii="Aptos" w:hAnsi="Aptos"/>
                <w:b w:val="0"/>
                <w:i w:val="0"/>
                <w:color w:val="1E252B"/>
                <w:sz w:val="16"/>
              </w:rPr>
              <w:t>Land/cost (10%)</w:t>
            </w:r>
          </w:p>
        </w:tc>
        <w:tc>
          <w:tcPr>
            <w:tcW w:type="dxa" w:w="2324"/>
            <w:shd w:fill="FFFFFF"/>
          </w:tcPr>
          <w:p>
            <w:pPr>
              <w:spacing w:after="0"/>
            </w:pPr>
            <w:r/>
            <w:r>
              <w:rPr>
                <w:rFonts w:ascii="Aptos" w:hAnsi="Aptos"/>
                <w:b w:val="0"/>
                <w:i w:val="0"/>
                <w:color w:val="1E252B"/>
                <w:sz w:val="16"/>
              </w:rPr>
              <w:t>3</w:t>
            </w:r>
          </w:p>
        </w:tc>
        <w:tc>
          <w:tcPr>
            <w:tcW w:type="dxa" w:w="2324"/>
            <w:shd w:fill="FFFFFF"/>
          </w:tcPr>
          <w:p>
            <w:pPr>
              <w:spacing w:after="0"/>
            </w:pPr>
            <w:r/>
            <w:r>
              <w:rPr>
                <w:rFonts w:ascii="Aptos" w:hAnsi="Aptos"/>
                <w:b w:val="0"/>
                <w:i w:val="0"/>
                <w:color w:val="1E252B"/>
                <w:sz w:val="16"/>
              </w:rPr>
              <w:t>4</w:t>
            </w:r>
          </w:p>
        </w:tc>
        <w:tc>
          <w:tcPr>
            <w:tcW w:type="dxa" w:w="2324"/>
            <w:shd w:fill="FFFFFF"/>
          </w:tcPr>
          <w:p>
            <w:pPr>
              <w:spacing w:after="0"/>
            </w:pPr>
            <w:r/>
            <w:r>
              <w:rPr>
                <w:rFonts w:ascii="Aptos" w:hAnsi="Aptos"/>
                <w:b w:val="0"/>
                <w:i w:val="0"/>
                <w:color w:val="1E252B"/>
                <w:sz w:val="16"/>
              </w:rPr>
              <w:t>4</w:t>
            </w:r>
          </w:p>
        </w:tc>
      </w:tr>
      <w:tr>
        <w:tc>
          <w:tcPr>
            <w:tcW w:type="dxa" w:w="2381"/>
            <w:shd w:fill="F3F6F8"/>
          </w:tcPr>
          <w:p>
            <w:pPr>
              <w:spacing w:after="0"/>
            </w:pPr>
            <w:r/>
            <w:r>
              <w:rPr>
                <w:rFonts w:ascii="Aptos" w:hAnsi="Aptos"/>
                <w:b w:val="0"/>
                <w:i w:val="0"/>
                <w:color w:val="1E252B"/>
                <w:sz w:val="16"/>
              </w:rPr>
              <w:t>Skills/suppliers (10%)</w:t>
            </w:r>
          </w:p>
        </w:tc>
        <w:tc>
          <w:tcPr>
            <w:tcW w:type="dxa" w:w="2324"/>
            <w:shd w:fill="F3F6F8"/>
          </w:tcPr>
          <w:p>
            <w:pPr>
              <w:spacing w:after="0"/>
            </w:pPr>
            <w:r/>
            <w:r>
              <w:rPr>
                <w:rFonts w:ascii="Aptos" w:hAnsi="Aptos"/>
                <w:b w:val="0"/>
                <w:i w:val="0"/>
                <w:color w:val="1E252B"/>
                <w:sz w:val="16"/>
              </w:rPr>
              <w:t>5</w:t>
            </w:r>
          </w:p>
        </w:tc>
        <w:tc>
          <w:tcPr>
            <w:tcW w:type="dxa" w:w="2324"/>
            <w:shd w:fill="F3F6F8"/>
          </w:tcPr>
          <w:p>
            <w:pPr>
              <w:spacing w:after="0"/>
            </w:pPr>
            <w:r/>
            <w:r>
              <w:rPr>
                <w:rFonts w:ascii="Aptos" w:hAnsi="Aptos"/>
                <w:b w:val="0"/>
                <w:i w:val="0"/>
                <w:color w:val="1E252B"/>
                <w:sz w:val="16"/>
              </w:rPr>
              <w:t>4</w:t>
            </w:r>
          </w:p>
        </w:tc>
        <w:tc>
          <w:tcPr>
            <w:tcW w:type="dxa" w:w="2324"/>
            <w:shd w:fill="F3F6F8"/>
          </w:tcPr>
          <w:p>
            <w:pPr>
              <w:spacing w:after="0"/>
            </w:pPr>
            <w:r/>
            <w:r>
              <w:rPr>
                <w:rFonts w:ascii="Aptos" w:hAnsi="Aptos"/>
                <w:b w:val="0"/>
                <w:i w:val="0"/>
                <w:color w:val="1E252B"/>
                <w:sz w:val="16"/>
              </w:rPr>
              <w:t>3</w:t>
            </w:r>
          </w:p>
        </w:tc>
      </w:tr>
      <w:tr>
        <w:tc>
          <w:tcPr>
            <w:tcW w:type="dxa" w:w="2381"/>
            <w:shd w:fill="FFFFFF"/>
          </w:tcPr>
          <w:p>
            <w:pPr>
              <w:spacing w:after="0"/>
            </w:pPr>
            <w:r/>
            <w:r>
              <w:rPr>
                <w:rFonts w:ascii="Aptos" w:hAnsi="Aptos"/>
                <w:b w:val="0"/>
                <w:i w:val="0"/>
                <w:color w:val="1E252B"/>
                <w:sz w:val="16"/>
              </w:rPr>
              <w:t>Regional diversification (5%)</w:t>
            </w:r>
          </w:p>
        </w:tc>
        <w:tc>
          <w:tcPr>
            <w:tcW w:type="dxa" w:w="2324"/>
            <w:shd w:fill="FFFFFF"/>
          </w:tcPr>
          <w:p>
            <w:pPr>
              <w:spacing w:after="0"/>
            </w:pPr>
            <w:r/>
            <w:r>
              <w:rPr>
                <w:rFonts w:ascii="Aptos" w:hAnsi="Aptos"/>
                <w:b w:val="0"/>
                <w:i w:val="0"/>
                <w:color w:val="1E252B"/>
                <w:sz w:val="16"/>
              </w:rPr>
              <w:t>3</w:t>
            </w:r>
          </w:p>
        </w:tc>
        <w:tc>
          <w:tcPr>
            <w:tcW w:type="dxa" w:w="2324"/>
            <w:shd w:fill="FFFFFF"/>
          </w:tcPr>
          <w:p>
            <w:pPr>
              <w:spacing w:after="0"/>
            </w:pPr>
            <w:r/>
            <w:r>
              <w:rPr>
                <w:rFonts w:ascii="Aptos" w:hAnsi="Aptos"/>
                <w:b w:val="0"/>
                <w:i w:val="0"/>
                <w:color w:val="1E252B"/>
                <w:sz w:val="16"/>
              </w:rPr>
              <w:t>4</w:t>
            </w:r>
          </w:p>
        </w:tc>
        <w:tc>
          <w:tcPr>
            <w:tcW w:type="dxa" w:w="2324"/>
            <w:shd w:fill="FFFFFF"/>
          </w:tcPr>
          <w:p>
            <w:pPr>
              <w:spacing w:after="0"/>
            </w:pPr>
            <w:r/>
            <w:r>
              <w:rPr>
                <w:rFonts w:ascii="Aptos" w:hAnsi="Aptos"/>
                <w:b w:val="0"/>
                <w:i w:val="0"/>
                <w:color w:val="1E252B"/>
                <w:sz w:val="16"/>
              </w:rPr>
              <w:t>5</w:t>
            </w:r>
          </w:p>
        </w:tc>
      </w:tr>
      <w:tr>
        <w:tc>
          <w:tcPr>
            <w:tcW w:type="dxa" w:w="2381"/>
            <w:shd w:fill="F3F6F8"/>
          </w:tcPr>
          <w:p>
            <w:pPr>
              <w:spacing w:after="0"/>
            </w:pPr>
            <w:r/>
            <w:r>
              <w:rPr>
                <w:rFonts w:ascii="Aptos" w:hAnsi="Aptos"/>
                <w:b w:val="0"/>
                <w:i w:val="0"/>
                <w:color w:val="1E252B"/>
                <w:sz w:val="16"/>
              </w:rPr>
              <w:t>Weighted score</w:t>
            </w:r>
          </w:p>
        </w:tc>
        <w:tc>
          <w:tcPr>
            <w:tcW w:type="dxa" w:w="2324"/>
            <w:shd w:fill="F3F6F8"/>
          </w:tcPr>
          <w:p>
            <w:pPr>
              <w:spacing w:after="0"/>
            </w:pPr>
            <w:r/>
            <w:r>
              <w:rPr>
                <w:rFonts w:ascii="Aptos" w:hAnsi="Aptos"/>
                <w:b w:val="0"/>
                <w:i w:val="0"/>
                <w:color w:val="1E252B"/>
                <w:sz w:val="16"/>
              </w:rPr>
              <w:t>4.55 / 5</w:t>
            </w:r>
          </w:p>
        </w:tc>
        <w:tc>
          <w:tcPr>
            <w:tcW w:type="dxa" w:w="2324"/>
            <w:shd w:fill="F3F6F8"/>
          </w:tcPr>
          <w:p>
            <w:pPr>
              <w:spacing w:after="0"/>
            </w:pPr>
            <w:r/>
            <w:r>
              <w:rPr>
                <w:rFonts w:ascii="Aptos" w:hAnsi="Aptos"/>
                <w:b w:val="0"/>
                <w:i w:val="0"/>
                <w:color w:val="1E252B"/>
                <w:sz w:val="16"/>
              </w:rPr>
              <w:t>3.85 / 5</w:t>
            </w:r>
          </w:p>
        </w:tc>
        <w:tc>
          <w:tcPr>
            <w:tcW w:type="dxa" w:w="2324"/>
            <w:shd w:fill="F3F6F8"/>
          </w:tcPr>
          <w:p>
            <w:pPr>
              <w:spacing w:after="0"/>
            </w:pPr>
            <w:r/>
            <w:r>
              <w:rPr>
                <w:rFonts w:ascii="Aptos" w:hAnsi="Aptos"/>
                <w:b w:val="0"/>
                <w:i w:val="0"/>
                <w:color w:val="1E252B"/>
                <w:sz w:val="16"/>
              </w:rPr>
              <w:t>3.05 / 5</w:t>
            </w:r>
          </w:p>
        </w:tc>
      </w:tr>
    </w:tbl>
    <w:p/>
    <w:p>
      <w:pPr>
        <w:spacing w:after="120" w:line="271" w:lineRule="auto"/>
        <w:jc w:val="both"/>
      </w:pPr>
      <w:r>
        <w:rPr>
          <w:rFonts w:ascii="Aptos" w:hAnsi="Aptos"/>
          <w:b w:val="0"/>
          <w:i w:val="0"/>
          <w:color w:val="1E252B"/>
          <w:sz w:val="20"/>
        </w:rPr>
        <w:t>Greater Rosario ranks first because of its industrial ecosystem, inbound raw materials, and export logistics. Córdoba is a strong second option for feed, pet food, and central domestic markets. Tucumán can support regional development and serve northwestern Argentina, but must demonstrate a commercial, utility, rail, or incentive advantage sufficient to offset logistics.</w:t>
      </w:r>
    </w:p>
    <w:p>
      <w:r>
        <w:br w:type="page"/>
      </w:r>
    </w:p>
    <w:p>
      <w:pPr>
        <w:spacing w:after="60"/>
      </w:pPr>
      <w:r>
        <w:rPr>
          <w:rFonts w:ascii="Aptos" w:hAnsi="Aptos"/>
          <w:b/>
          <w:i w:val="0"/>
          <w:color w:val="C5A253"/>
          <w:sz w:val="17"/>
        </w:rPr>
        <w:t>LOCATION</w:t>
      </w:r>
    </w:p>
    <w:p>
      <w:pPr>
        <w:spacing w:after="200"/>
      </w:pPr>
      <w:r>
        <w:rPr>
          <w:rFonts w:ascii="Aptos" w:hAnsi="Aptos"/>
          <w:b/>
          <w:i w:val="0"/>
          <w:color w:val="0B1F3A"/>
          <w:sz w:val="40"/>
        </w:rPr>
        <w:t>Site Due-Diligence Criteria</w:t>
      </w:r>
    </w:p>
    <w:tbl>
      <w:tblPr>
        <w:tblW w:type="auto" w:w="0"/>
        <w:jc w:val="center"/>
        <w:tblLayout w:type="fixed"/>
        <w:tblLook w:firstColumn="1" w:firstRow="1" w:lastColumn="0" w:lastRow="0" w:noHBand="0" w:noVBand="1" w:val="04A0"/>
      </w:tblPr>
      <w:tblGrid>
        <w:gridCol w:w="3156"/>
        <w:gridCol w:w="3156"/>
        <w:gridCol w:w="3156"/>
      </w:tblGrid>
      <w:tr>
        <w:tc>
          <w:tcPr>
            <w:tcW w:type="dxa" w:w="1871"/>
            <w:shd w:fill="0B1F3A"/>
          </w:tcPr>
          <w:p>
            <w:pPr>
              <w:spacing w:after="0"/>
            </w:pPr>
            <w:r/>
            <w:r>
              <w:rPr>
                <w:rFonts w:ascii="Aptos" w:hAnsi="Aptos"/>
                <w:b/>
                <w:i w:val="0"/>
                <w:color w:val="FFFFFF"/>
                <w:sz w:val="16"/>
              </w:rPr>
              <w:t>Block</w:t>
            </w:r>
          </w:p>
        </w:tc>
        <w:tc>
          <w:tcPr>
            <w:tcW w:type="dxa" w:w="4025"/>
            <w:shd w:fill="0B1F3A"/>
          </w:tcPr>
          <w:p>
            <w:pPr>
              <w:spacing w:after="0"/>
            </w:pPr>
            <w:r/>
            <w:r>
              <w:rPr>
                <w:rFonts w:ascii="Aptos" w:hAnsi="Aptos"/>
                <w:b/>
                <w:i w:val="0"/>
                <w:color w:val="FFFFFF"/>
                <w:sz w:val="16"/>
              </w:rPr>
              <w:t>Minimum requirement</w:t>
            </w:r>
          </w:p>
        </w:tc>
        <w:tc>
          <w:tcPr>
            <w:tcW w:type="dxa" w:w="3572"/>
            <w:shd w:fill="0B1F3A"/>
          </w:tcPr>
          <w:p>
            <w:pPr>
              <w:spacing w:after="0"/>
            </w:pPr>
            <w:r/>
            <w:r>
              <w:rPr>
                <w:rFonts w:ascii="Aptos" w:hAnsi="Aptos"/>
                <w:b/>
                <w:i w:val="0"/>
                <w:color w:val="FFFFFF"/>
                <w:sz w:val="16"/>
              </w:rPr>
              <w:t>Evidence</w:t>
            </w:r>
          </w:p>
        </w:tc>
      </w:tr>
      <w:tr>
        <w:tc>
          <w:tcPr>
            <w:tcW w:type="dxa" w:w="1871"/>
            <w:shd w:fill="FFFFFF"/>
          </w:tcPr>
          <w:p>
            <w:pPr>
              <w:spacing w:after="0"/>
            </w:pPr>
            <w:r/>
            <w:r>
              <w:rPr>
                <w:rFonts w:ascii="Aptos" w:hAnsi="Aptos"/>
                <w:b w:val="0"/>
                <w:i w:val="0"/>
                <w:color w:val="1E252B"/>
                <w:sz w:val="16"/>
              </w:rPr>
              <w:t>Land use</w:t>
            </w:r>
          </w:p>
        </w:tc>
        <w:tc>
          <w:tcPr>
            <w:tcW w:type="dxa" w:w="4025"/>
            <w:shd w:fill="FFFFFF"/>
          </w:tcPr>
          <w:p>
            <w:pPr>
              <w:spacing w:after="0"/>
            </w:pPr>
            <w:r/>
            <w:r>
              <w:rPr>
                <w:rFonts w:ascii="Aptos" w:hAnsi="Aptos"/>
                <w:b w:val="0"/>
                <w:i w:val="0"/>
                <w:color w:val="1E252B"/>
                <w:sz w:val="16"/>
              </w:rPr>
              <w:t>Food manufacturing and heavy traffic permitted.</w:t>
            </w:r>
          </w:p>
        </w:tc>
        <w:tc>
          <w:tcPr>
            <w:tcW w:type="dxa" w:w="3572"/>
            <w:shd w:fill="FFFFFF"/>
          </w:tcPr>
          <w:p>
            <w:pPr>
              <w:spacing w:after="0"/>
            </w:pPr>
            <w:r/>
            <w:r>
              <w:rPr>
                <w:rFonts w:ascii="Aptos" w:hAnsi="Aptos"/>
                <w:b w:val="0"/>
                <w:i w:val="0"/>
                <w:color w:val="1E252B"/>
                <w:sz w:val="16"/>
              </w:rPr>
              <w:t>Municipal certificate and applicable rules.</w:t>
            </w:r>
          </w:p>
        </w:tc>
      </w:tr>
      <w:tr>
        <w:tc>
          <w:tcPr>
            <w:tcW w:type="dxa" w:w="1871"/>
            <w:shd w:fill="F3F6F8"/>
          </w:tcPr>
          <w:p>
            <w:pPr>
              <w:spacing w:after="0"/>
            </w:pPr>
            <w:r/>
            <w:r>
              <w:rPr>
                <w:rFonts w:ascii="Aptos" w:hAnsi="Aptos"/>
                <w:b w:val="0"/>
                <w:i w:val="0"/>
                <w:color w:val="1E252B"/>
                <w:sz w:val="16"/>
              </w:rPr>
              <w:t>Area</w:t>
            </w:r>
          </w:p>
        </w:tc>
        <w:tc>
          <w:tcPr>
            <w:tcW w:type="dxa" w:w="4025"/>
            <w:shd w:fill="F3F6F8"/>
          </w:tcPr>
          <w:p>
            <w:pPr>
              <w:spacing w:after="0"/>
            </w:pPr>
            <w:r/>
            <w:r>
              <w:rPr>
                <w:rFonts w:ascii="Aptos" w:hAnsi="Aptos"/>
                <w:b w:val="0"/>
                <w:i w:val="0"/>
                <w:color w:val="1E252B"/>
                <w:sz w:val="16"/>
              </w:rPr>
              <w:t>4–6 ha for phase 1 plus protected expansion land.</w:t>
            </w:r>
          </w:p>
        </w:tc>
        <w:tc>
          <w:tcPr>
            <w:tcW w:type="dxa" w:w="3572"/>
            <w:shd w:fill="F3F6F8"/>
          </w:tcPr>
          <w:p>
            <w:pPr>
              <w:spacing w:after="0"/>
            </w:pPr>
            <w:r/>
            <w:r>
              <w:rPr>
                <w:rFonts w:ascii="Aptos" w:hAnsi="Aptos"/>
                <w:b w:val="0"/>
                <w:i w:val="0"/>
                <w:color w:val="1E252B"/>
                <w:sz w:val="16"/>
              </w:rPr>
              <w:t>Survey, title, easements.</w:t>
            </w:r>
          </w:p>
        </w:tc>
      </w:tr>
      <w:tr>
        <w:tc>
          <w:tcPr>
            <w:tcW w:type="dxa" w:w="1871"/>
            <w:shd w:fill="FFFFFF"/>
          </w:tcPr>
          <w:p>
            <w:pPr>
              <w:spacing w:after="0"/>
            </w:pPr>
            <w:r/>
            <w:r>
              <w:rPr>
                <w:rFonts w:ascii="Aptos" w:hAnsi="Aptos"/>
                <w:b w:val="0"/>
                <w:i w:val="0"/>
                <w:color w:val="1E252B"/>
                <w:sz w:val="16"/>
              </w:rPr>
              <w:t>Power</w:t>
            </w:r>
          </w:p>
        </w:tc>
        <w:tc>
          <w:tcPr>
            <w:tcW w:type="dxa" w:w="4025"/>
            <w:shd w:fill="FFFFFF"/>
          </w:tcPr>
          <w:p>
            <w:pPr>
              <w:spacing w:after="0"/>
            </w:pPr>
            <w:r/>
            <w:r>
              <w:rPr>
                <w:rFonts w:ascii="Aptos" w:hAnsi="Aptos"/>
                <w:b w:val="0"/>
                <w:i w:val="0"/>
                <w:color w:val="1E252B"/>
                <w:sz w:val="16"/>
              </w:rPr>
              <w:t>Firm capacity and motor/VFD power quality.</w:t>
            </w:r>
          </w:p>
        </w:tc>
        <w:tc>
          <w:tcPr>
            <w:tcW w:type="dxa" w:w="3572"/>
            <w:shd w:fill="FFFFFF"/>
          </w:tcPr>
          <w:p>
            <w:pPr>
              <w:spacing w:after="0"/>
            </w:pPr>
            <w:r/>
            <w:r>
              <w:rPr>
                <w:rFonts w:ascii="Aptos" w:hAnsi="Aptos"/>
                <w:b w:val="0"/>
                <w:i w:val="0"/>
                <w:color w:val="1E252B"/>
                <w:sz w:val="16"/>
              </w:rPr>
              <w:t>Utility feasibility letter and tariff.</w:t>
            </w:r>
          </w:p>
        </w:tc>
      </w:tr>
      <w:tr>
        <w:tc>
          <w:tcPr>
            <w:tcW w:type="dxa" w:w="1871"/>
            <w:shd w:fill="F3F6F8"/>
          </w:tcPr>
          <w:p>
            <w:pPr>
              <w:spacing w:after="0"/>
            </w:pPr>
            <w:r/>
            <w:r>
              <w:rPr>
                <w:rFonts w:ascii="Aptos" w:hAnsi="Aptos"/>
                <w:b w:val="0"/>
                <w:i w:val="0"/>
                <w:color w:val="1E252B"/>
                <w:sz w:val="16"/>
              </w:rPr>
              <w:t>Gas / heat</w:t>
            </w:r>
          </w:p>
        </w:tc>
        <w:tc>
          <w:tcPr>
            <w:tcW w:type="dxa" w:w="4025"/>
            <w:shd w:fill="F3F6F8"/>
          </w:tcPr>
          <w:p>
            <w:pPr>
              <w:spacing w:after="0"/>
            </w:pPr>
            <w:r/>
            <w:r>
              <w:rPr>
                <w:rFonts w:ascii="Aptos" w:hAnsi="Aptos"/>
                <w:b w:val="0"/>
                <w:i w:val="0"/>
                <w:color w:val="1E252B"/>
                <w:sz w:val="16"/>
              </w:rPr>
              <w:t>Firm gas or dual-fuel alternative.</w:t>
            </w:r>
          </w:p>
        </w:tc>
        <w:tc>
          <w:tcPr>
            <w:tcW w:type="dxa" w:w="3572"/>
            <w:shd w:fill="F3F6F8"/>
          </w:tcPr>
          <w:p>
            <w:pPr>
              <w:spacing w:after="0"/>
            </w:pPr>
            <w:r/>
            <w:r>
              <w:rPr>
                <w:rFonts w:ascii="Aptos" w:hAnsi="Aptos"/>
                <w:b w:val="0"/>
                <w:i w:val="0"/>
                <w:color w:val="1E252B"/>
                <w:sz w:val="16"/>
              </w:rPr>
              <w:t>Capacity, pressure, and cost.</w:t>
            </w:r>
          </w:p>
        </w:tc>
      </w:tr>
      <w:tr>
        <w:tc>
          <w:tcPr>
            <w:tcW w:type="dxa" w:w="1871"/>
            <w:shd w:fill="FFFFFF"/>
          </w:tcPr>
          <w:p>
            <w:pPr>
              <w:spacing w:after="0"/>
            </w:pPr>
            <w:r/>
            <w:r>
              <w:rPr>
                <w:rFonts w:ascii="Aptos" w:hAnsi="Aptos"/>
                <w:b w:val="0"/>
                <w:i w:val="0"/>
                <w:color w:val="1E252B"/>
                <w:sz w:val="16"/>
              </w:rPr>
              <w:t>Water</w:t>
            </w:r>
          </w:p>
        </w:tc>
        <w:tc>
          <w:tcPr>
            <w:tcW w:type="dxa" w:w="4025"/>
            <w:shd w:fill="FFFFFF"/>
          </w:tcPr>
          <w:p>
            <w:pPr>
              <w:spacing w:after="0"/>
            </w:pPr>
            <w:r/>
            <w:r>
              <w:rPr>
                <w:rFonts w:ascii="Aptos" w:hAnsi="Aptos"/>
                <w:b w:val="0"/>
                <w:i w:val="0"/>
                <w:color w:val="1E252B"/>
                <w:sz w:val="16"/>
              </w:rPr>
              <w:t>Potable/process quality and adequate flow.</w:t>
            </w:r>
          </w:p>
        </w:tc>
        <w:tc>
          <w:tcPr>
            <w:tcW w:type="dxa" w:w="3572"/>
            <w:shd w:fill="FFFFFF"/>
          </w:tcPr>
          <w:p>
            <w:pPr>
              <w:spacing w:after="0"/>
            </w:pPr>
            <w:r/>
            <w:r>
              <w:rPr>
                <w:rFonts w:ascii="Aptos" w:hAnsi="Aptos"/>
                <w:b w:val="0"/>
                <w:i w:val="0"/>
                <w:color w:val="1E252B"/>
                <w:sz w:val="16"/>
              </w:rPr>
              <w:t>Analysis, permit, water balance.</w:t>
            </w:r>
          </w:p>
        </w:tc>
      </w:tr>
      <w:tr>
        <w:tc>
          <w:tcPr>
            <w:tcW w:type="dxa" w:w="1871"/>
            <w:shd w:fill="F3F6F8"/>
          </w:tcPr>
          <w:p>
            <w:pPr>
              <w:spacing w:after="0"/>
            </w:pPr>
            <w:r/>
            <w:r>
              <w:rPr>
                <w:rFonts w:ascii="Aptos" w:hAnsi="Aptos"/>
                <w:b w:val="0"/>
                <w:i w:val="0"/>
                <w:color w:val="1E252B"/>
                <w:sz w:val="16"/>
              </w:rPr>
              <w:t>Effluent</w:t>
            </w:r>
          </w:p>
        </w:tc>
        <w:tc>
          <w:tcPr>
            <w:tcW w:type="dxa" w:w="4025"/>
            <w:shd w:fill="F3F6F8"/>
          </w:tcPr>
          <w:p>
            <w:pPr>
              <w:spacing w:after="0"/>
            </w:pPr>
            <w:r/>
            <w:r>
              <w:rPr>
                <w:rFonts w:ascii="Aptos" w:hAnsi="Aptos"/>
                <w:b w:val="0"/>
                <w:i w:val="0"/>
                <w:color w:val="1E252B"/>
                <w:sz w:val="16"/>
              </w:rPr>
              <w:t>Discharge or treatment solution.</w:t>
            </w:r>
          </w:p>
        </w:tc>
        <w:tc>
          <w:tcPr>
            <w:tcW w:type="dxa" w:w="3572"/>
            <w:shd w:fill="F3F6F8"/>
          </w:tcPr>
          <w:p>
            <w:pPr>
              <w:spacing w:after="0"/>
            </w:pPr>
            <w:r/>
            <w:r>
              <w:rPr>
                <w:rFonts w:ascii="Aptos" w:hAnsi="Aptos"/>
                <w:b w:val="0"/>
                <w:i w:val="0"/>
                <w:color w:val="1E252B"/>
                <w:sz w:val="16"/>
              </w:rPr>
              <w:t>Characterization and authorization.</w:t>
            </w:r>
          </w:p>
        </w:tc>
      </w:tr>
      <w:tr>
        <w:tc>
          <w:tcPr>
            <w:tcW w:type="dxa" w:w="1871"/>
            <w:shd w:fill="FFFFFF"/>
          </w:tcPr>
          <w:p>
            <w:pPr>
              <w:spacing w:after="0"/>
            </w:pPr>
            <w:r/>
            <w:r>
              <w:rPr>
                <w:rFonts w:ascii="Aptos" w:hAnsi="Aptos"/>
                <w:b w:val="0"/>
                <w:i w:val="0"/>
                <w:color w:val="1E252B"/>
                <w:sz w:val="16"/>
              </w:rPr>
              <w:t>Logistics</w:t>
            </w:r>
          </w:p>
        </w:tc>
        <w:tc>
          <w:tcPr>
            <w:tcW w:type="dxa" w:w="4025"/>
            <w:shd w:fill="FFFFFF"/>
          </w:tcPr>
          <w:p>
            <w:pPr>
              <w:spacing w:after="0"/>
            </w:pPr>
            <w:r/>
            <w:r>
              <w:rPr>
                <w:rFonts w:ascii="Aptos" w:hAnsi="Aptos"/>
                <w:b w:val="0"/>
                <w:i w:val="0"/>
                <w:color w:val="1E252B"/>
                <w:sz w:val="16"/>
              </w:rPr>
              <w:t>Truck access; preferred rail/port node within 100 km.</w:t>
            </w:r>
          </w:p>
        </w:tc>
        <w:tc>
          <w:tcPr>
            <w:tcW w:type="dxa" w:w="3572"/>
            <w:shd w:fill="FFFFFF"/>
          </w:tcPr>
          <w:p>
            <w:pPr>
              <w:spacing w:after="0"/>
            </w:pPr>
            <w:r/>
            <w:r>
              <w:rPr>
                <w:rFonts w:ascii="Aptos" w:hAnsi="Aptos"/>
                <w:b w:val="0"/>
                <w:i w:val="0"/>
                <w:color w:val="1E252B"/>
                <w:sz w:val="16"/>
              </w:rPr>
              <w:t>Routes, tolls, transit time, tariff.</w:t>
            </w:r>
          </w:p>
        </w:tc>
      </w:tr>
      <w:tr>
        <w:tc>
          <w:tcPr>
            <w:tcW w:type="dxa" w:w="1871"/>
            <w:shd w:fill="F3F6F8"/>
          </w:tcPr>
          <w:p>
            <w:pPr>
              <w:spacing w:after="0"/>
            </w:pPr>
            <w:r/>
            <w:r>
              <w:rPr>
                <w:rFonts w:ascii="Aptos" w:hAnsi="Aptos"/>
                <w:b w:val="0"/>
                <w:i w:val="0"/>
                <w:color w:val="1E252B"/>
                <w:sz w:val="16"/>
              </w:rPr>
              <w:t>Environmental/social</w:t>
            </w:r>
          </w:p>
        </w:tc>
        <w:tc>
          <w:tcPr>
            <w:tcW w:type="dxa" w:w="4025"/>
            <w:shd w:fill="F3F6F8"/>
          </w:tcPr>
          <w:p>
            <w:pPr>
              <w:spacing w:after="0"/>
            </w:pPr>
            <w:r/>
            <w:r>
              <w:rPr>
                <w:rFonts w:ascii="Aptos" w:hAnsi="Aptos"/>
                <w:b w:val="0"/>
                <w:i w:val="0"/>
                <w:color w:val="1E252B"/>
                <w:sz w:val="16"/>
              </w:rPr>
              <w:t>No incompatible sensitive receptors.</w:t>
            </w:r>
          </w:p>
        </w:tc>
        <w:tc>
          <w:tcPr>
            <w:tcW w:type="dxa" w:w="3572"/>
            <w:shd w:fill="F3F6F8"/>
          </w:tcPr>
          <w:p>
            <w:pPr>
              <w:spacing w:after="0"/>
            </w:pPr>
            <w:r/>
            <w:r>
              <w:rPr>
                <w:rFonts w:ascii="Aptos" w:hAnsi="Aptos"/>
                <w:b w:val="0"/>
                <w:i w:val="0"/>
                <w:color w:val="1E252B"/>
                <w:sz w:val="16"/>
              </w:rPr>
              <w:t>Baseline, EIA screening, engagement.</w:t>
            </w:r>
          </w:p>
        </w:tc>
      </w:tr>
    </w:tbl>
    <w:p/>
    <w:p>
      <w:r>
        <w:br w:type="page"/>
      </w:r>
    </w:p>
    <w:p>
      <w:pPr>
        <w:spacing w:after="60"/>
      </w:pPr>
      <w:r>
        <w:rPr>
          <w:rFonts w:ascii="Aptos" w:hAnsi="Aptos"/>
          <w:b/>
          <w:i w:val="0"/>
          <w:color w:val="C5A253"/>
          <w:sz w:val="17"/>
        </w:rPr>
        <w:t>CONCEPT ENGINEERING</w:t>
      </w:r>
    </w:p>
    <w:p>
      <w:pPr>
        <w:spacing w:after="200"/>
      </w:pPr>
      <w:r>
        <w:rPr>
          <w:rFonts w:ascii="Aptos" w:hAnsi="Aptos"/>
          <w:b/>
          <w:i w:val="0"/>
          <w:color w:val="0B1F3A"/>
          <w:sz w:val="40"/>
        </w:rPr>
        <w:t>Proposed Manufacturing Process</w:t>
      </w:r>
    </w:p>
    <w:tbl>
      <w:tblPr>
        <w:tblW w:type="auto" w:w="0"/>
        <w:jc w:val="center"/>
        <w:tblLayout w:type="fixed"/>
        <w:tblLook w:firstColumn="1" w:firstRow="1" w:lastColumn="0" w:lastRow="0" w:noHBand="0" w:noVBand="1" w:val="04A0"/>
      </w:tblPr>
      <w:tblGrid>
        <w:gridCol w:w="3156"/>
        <w:gridCol w:w="3156"/>
        <w:gridCol w:w="3156"/>
      </w:tblGrid>
      <w:tr>
        <w:tc>
          <w:tcPr>
            <w:tcW w:type="dxa" w:w="1984"/>
            <w:shd w:fill="0B1F3A"/>
          </w:tcPr>
          <w:p>
            <w:pPr>
              <w:spacing w:after="0"/>
            </w:pPr>
            <w:r/>
            <w:r>
              <w:rPr>
                <w:rFonts w:ascii="Aptos" w:hAnsi="Aptos"/>
                <w:b/>
                <w:i w:val="0"/>
                <w:color w:val="FFFFFF"/>
                <w:sz w:val="16"/>
              </w:rPr>
              <w:t>Stage</w:t>
            </w:r>
          </w:p>
        </w:tc>
        <w:tc>
          <w:tcPr>
            <w:tcW w:type="dxa" w:w="4025"/>
            <w:shd w:fill="0B1F3A"/>
          </w:tcPr>
          <w:p>
            <w:pPr>
              <w:spacing w:after="0"/>
            </w:pPr>
            <w:r/>
            <w:r>
              <w:rPr>
                <w:rFonts w:ascii="Aptos" w:hAnsi="Aptos"/>
                <w:b/>
                <w:i w:val="0"/>
                <w:color w:val="FFFFFF"/>
                <w:sz w:val="16"/>
              </w:rPr>
              <w:t>Function</w:t>
            </w:r>
          </w:p>
        </w:tc>
        <w:tc>
          <w:tcPr>
            <w:tcW w:type="dxa" w:w="3458"/>
            <w:shd w:fill="0B1F3A"/>
          </w:tcPr>
          <w:p>
            <w:pPr>
              <w:spacing w:after="0"/>
            </w:pPr>
            <w:r/>
            <w:r>
              <w:rPr>
                <w:rFonts w:ascii="Aptos" w:hAnsi="Aptos"/>
                <w:b/>
                <w:i w:val="0"/>
                <w:color w:val="FFFFFF"/>
                <w:sz w:val="16"/>
              </w:rPr>
              <w:t>Critical control</w:t>
            </w:r>
          </w:p>
        </w:tc>
      </w:tr>
      <w:tr>
        <w:tc>
          <w:tcPr>
            <w:tcW w:type="dxa" w:w="1984"/>
            <w:shd w:fill="FFFFFF"/>
          </w:tcPr>
          <w:p>
            <w:pPr>
              <w:spacing w:after="0"/>
            </w:pPr>
            <w:r/>
            <w:r>
              <w:rPr>
                <w:rFonts w:ascii="Aptos" w:hAnsi="Aptos"/>
                <w:b w:val="0"/>
                <w:i w:val="0"/>
                <w:color w:val="1E252B"/>
                <w:sz w:val="16"/>
              </w:rPr>
              <w:t>Receiving and hold</w:t>
            </w:r>
          </w:p>
        </w:tc>
        <w:tc>
          <w:tcPr>
            <w:tcW w:type="dxa" w:w="4025"/>
            <w:shd w:fill="FFFFFF"/>
          </w:tcPr>
          <w:p>
            <w:pPr>
              <w:spacing w:after="0"/>
            </w:pPr>
            <w:r/>
            <w:r>
              <w:rPr>
                <w:rFonts w:ascii="Aptos" w:hAnsi="Aptos"/>
                <w:b w:val="0"/>
                <w:i w:val="0"/>
                <w:color w:val="1E252B"/>
                <w:sz w:val="16"/>
              </w:rPr>
              <w:t>Weigh, sample, unload, and quarantine.</w:t>
            </w:r>
          </w:p>
        </w:tc>
        <w:tc>
          <w:tcPr>
            <w:tcW w:type="dxa" w:w="3458"/>
            <w:shd w:fill="FFFFFF"/>
          </w:tcPr>
          <w:p>
            <w:pPr>
              <w:spacing w:after="0"/>
            </w:pPr>
            <w:r/>
            <w:r>
              <w:rPr>
                <w:rFonts w:ascii="Aptos" w:hAnsi="Aptos"/>
                <w:b w:val="0"/>
                <w:i w:val="0"/>
                <w:color w:val="1E252B"/>
                <w:sz w:val="16"/>
              </w:rPr>
              <w:t>Identity, mycotoxins, foreign material.</w:t>
            </w:r>
          </w:p>
        </w:tc>
      </w:tr>
      <w:tr>
        <w:tc>
          <w:tcPr>
            <w:tcW w:type="dxa" w:w="1984"/>
            <w:shd w:fill="F3F6F8"/>
          </w:tcPr>
          <w:p>
            <w:pPr>
              <w:spacing w:after="0"/>
            </w:pPr>
            <w:r/>
            <w:r>
              <w:rPr>
                <w:rFonts w:ascii="Aptos" w:hAnsi="Aptos"/>
                <w:b w:val="0"/>
                <w:i w:val="0"/>
                <w:color w:val="1E252B"/>
                <w:sz w:val="16"/>
              </w:rPr>
              <w:t>Cleaning and milling</w:t>
            </w:r>
          </w:p>
        </w:tc>
        <w:tc>
          <w:tcPr>
            <w:tcW w:type="dxa" w:w="4025"/>
            <w:shd w:fill="F3F6F8"/>
          </w:tcPr>
          <w:p>
            <w:pPr>
              <w:spacing w:after="0"/>
            </w:pPr>
            <w:r/>
            <w:r>
              <w:rPr>
                <w:rFonts w:ascii="Aptos" w:hAnsi="Aptos"/>
                <w:b w:val="0"/>
                <w:i w:val="0"/>
                <w:color w:val="1E252B"/>
                <w:sz w:val="16"/>
              </w:rPr>
              <w:t>Prepare uniform raw materials.</w:t>
            </w:r>
          </w:p>
        </w:tc>
        <w:tc>
          <w:tcPr>
            <w:tcW w:type="dxa" w:w="3458"/>
            <w:shd w:fill="F3F6F8"/>
          </w:tcPr>
          <w:p>
            <w:pPr>
              <w:spacing w:after="0"/>
            </w:pPr>
            <w:r/>
            <w:r>
              <w:rPr>
                <w:rFonts w:ascii="Aptos" w:hAnsi="Aptos"/>
                <w:b w:val="0"/>
                <w:i w:val="0"/>
                <w:color w:val="1E252B"/>
                <w:sz w:val="16"/>
              </w:rPr>
              <w:t>Combustible dust and particle size.</w:t>
            </w:r>
          </w:p>
        </w:tc>
      </w:tr>
      <w:tr>
        <w:tc>
          <w:tcPr>
            <w:tcW w:type="dxa" w:w="1984"/>
            <w:shd w:fill="FFFFFF"/>
          </w:tcPr>
          <w:p>
            <w:pPr>
              <w:spacing w:after="0"/>
            </w:pPr>
            <w:r/>
            <w:r>
              <w:rPr>
                <w:rFonts w:ascii="Aptos" w:hAnsi="Aptos"/>
                <w:b w:val="0"/>
                <w:i w:val="0"/>
                <w:color w:val="1E252B"/>
                <w:sz w:val="16"/>
              </w:rPr>
              <w:t>Dosing and mixing</w:t>
            </w:r>
          </w:p>
        </w:tc>
        <w:tc>
          <w:tcPr>
            <w:tcW w:type="dxa" w:w="4025"/>
            <w:shd w:fill="FFFFFF"/>
          </w:tcPr>
          <w:p>
            <w:pPr>
              <w:spacing w:after="0"/>
            </w:pPr>
            <w:r/>
            <w:r>
              <w:rPr>
                <w:rFonts w:ascii="Aptos" w:hAnsi="Aptos"/>
                <w:b w:val="0"/>
                <w:i w:val="0"/>
                <w:color w:val="1E252B"/>
                <w:sz w:val="16"/>
              </w:rPr>
              <w:t>Execute formulations and premixes.</w:t>
            </w:r>
          </w:p>
        </w:tc>
        <w:tc>
          <w:tcPr>
            <w:tcW w:type="dxa" w:w="3458"/>
            <w:shd w:fill="FFFFFF"/>
          </w:tcPr>
          <w:p>
            <w:pPr>
              <w:spacing w:after="0"/>
            </w:pPr>
            <w:r/>
            <w:r>
              <w:rPr>
                <w:rFonts w:ascii="Aptos" w:hAnsi="Aptos"/>
                <w:b w:val="0"/>
                <w:i w:val="0"/>
                <w:color w:val="1E252B"/>
                <w:sz w:val="16"/>
              </w:rPr>
              <w:t>Accuracy, sequence, allergens.</w:t>
            </w:r>
          </w:p>
        </w:tc>
      </w:tr>
      <w:tr>
        <w:tc>
          <w:tcPr>
            <w:tcW w:type="dxa" w:w="1984"/>
            <w:shd w:fill="F3F6F8"/>
          </w:tcPr>
          <w:p>
            <w:pPr>
              <w:spacing w:after="0"/>
            </w:pPr>
            <w:r/>
            <w:r>
              <w:rPr>
                <w:rFonts w:ascii="Aptos" w:hAnsi="Aptos"/>
                <w:b w:val="0"/>
                <w:i w:val="0"/>
                <w:color w:val="1E252B"/>
                <w:sz w:val="16"/>
              </w:rPr>
              <w:t>Preconditioning</w:t>
            </w:r>
          </w:p>
        </w:tc>
        <w:tc>
          <w:tcPr>
            <w:tcW w:type="dxa" w:w="4025"/>
            <w:shd w:fill="F3F6F8"/>
          </w:tcPr>
          <w:p>
            <w:pPr>
              <w:spacing w:after="0"/>
            </w:pPr>
            <w:r/>
            <w:r>
              <w:rPr>
                <w:rFonts w:ascii="Aptos" w:hAnsi="Aptos"/>
                <w:b w:val="0"/>
                <w:i w:val="0"/>
                <w:color w:val="1E252B"/>
                <w:sz w:val="16"/>
              </w:rPr>
              <w:t>Add water/steam and raise temperature.</w:t>
            </w:r>
          </w:p>
        </w:tc>
        <w:tc>
          <w:tcPr>
            <w:tcW w:type="dxa" w:w="3458"/>
            <w:shd w:fill="F3F6F8"/>
          </w:tcPr>
          <w:p>
            <w:pPr>
              <w:spacing w:after="0"/>
            </w:pPr>
            <w:r/>
            <w:r>
              <w:rPr>
                <w:rFonts w:ascii="Aptos" w:hAnsi="Aptos"/>
                <w:b w:val="0"/>
                <w:i w:val="0"/>
                <w:color w:val="1E252B"/>
                <w:sz w:val="16"/>
              </w:rPr>
              <w:t>Moisture, time, temperature.</w:t>
            </w:r>
          </w:p>
        </w:tc>
      </w:tr>
      <w:tr>
        <w:tc>
          <w:tcPr>
            <w:tcW w:type="dxa" w:w="1984"/>
            <w:shd w:fill="FFFFFF"/>
          </w:tcPr>
          <w:p>
            <w:pPr>
              <w:spacing w:after="0"/>
            </w:pPr>
            <w:r/>
            <w:r>
              <w:rPr>
                <w:rFonts w:ascii="Aptos" w:hAnsi="Aptos"/>
                <w:b w:val="0"/>
                <w:i w:val="0"/>
                <w:color w:val="1E252B"/>
                <w:sz w:val="16"/>
              </w:rPr>
              <w:t>HTST extrusion</w:t>
            </w:r>
          </w:p>
        </w:tc>
        <w:tc>
          <w:tcPr>
            <w:tcW w:type="dxa" w:w="4025"/>
            <w:shd w:fill="FFFFFF"/>
          </w:tcPr>
          <w:p>
            <w:pPr>
              <w:spacing w:after="0"/>
            </w:pPr>
            <w:r/>
            <w:r>
              <w:rPr>
                <w:rFonts w:ascii="Aptos" w:hAnsi="Aptos"/>
                <w:b w:val="0"/>
                <w:i w:val="0"/>
                <w:color w:val="1E252B"/>
                <w:sz w:val="16"/>
              </w:rPr>
              <w:t>Cook, texture, and shape.</w:t>
            </w:r>
          </w:p>
        </w:tc>
        <w:tc>
          <w:tcPr>
            <w:tcW w:type="dxa" w:w="3458"/>
            <w:shd w:fill="FFFFFF"/>
          </w:tcPr>
          <w:p>
            <w:pPr>
              <w:spacing w:after="0"/>
            </w:pPr>
            <w:r/>
            <w:r>
              <w:rPr>
                <w:rFonts w:ascii="Aptos" w:hAnsi="Aptos"/>
                <w:b w:val="0"/>
                <w:i w:val="0"/>
                <w:color w:val="1E252B"/>
                <w:sz w:val="16"/>
              </w:rPr>
              <w:t>SME, pressure, temperature, residence time.</w:t>
            </w:r>
          </w:p>
        </w:tc>
      </w:tr>
      <w:tr>
        <w:tc>
          <w:tcPr>
            <w:tcW w:type="dxa" w:w="1984"/>
            <w:shd w:fill="F3F6F8"/>
          </w:tcPr>
          <w:p>
            <w:pPr>
              <w:spacing w:after="0"/>
            </w:pPr>
            <w:r/>
            <w:r>
              <w:rPr>
                <w:rFonts w:ascii="Aptos" w:hAnsi="Aptos"/>
                <w:b w:val="0"/>
                <w:i w:val="0"/>
                <w:color w:val="1E252B"/>
                <w:sz w:val="16"/>
              </w:rPr>
              <w:t>Drying and cooling</w:t>
            </w:r>
          </w:p>
        </w:tc>
        <w:tc>
          <w:tcPr>
            <w:tcW w:type="dxa" w:w="4025"/>
            <w:shd w:fill="F3F6F8"/>
          </w:tcPr>
          <w:p>
            <w:pPr>
              <w:spacing w:after="0"/>
            </w:pPr>
            <w:r/>
            <w:r>
              <w:rPr>
                <w:rFonts w:ascii="Aptos" w:hAnsi="Aptos"/>
                <w:b w:val="0"/>
                <w:i w:val="0"/>
                <w:color w:val="1E252B"/>
                <w:sz w:val="16"/>
              </w:rPr>
              <w:t>Stabilize moisture and water activity.</w:t>
            </w:r>
          </w:p>
        </w:tc>
        <w:tc>
          <w:tcPr>
            <w:tcW w:type="dxa" w:w="3458"/>
            <w:shd w:fill="F3F6F8"/>
          </w:tcPr>
          <w:p>
            <w:pPr>
              <w:spacing w:after="0"/>
            </w:pPr>
            <w:r/>
            <w:r>
              <w:rPr>
                <w:rFonts w:ascii="Aptos" w:hAnsi="Aptos"/>
                <w:b w:val="0"/>
                <w:i w:val="0"/>
                <w:color w:val="1E252B"/>
                <w:sz w:val="16"/>
              </w:rPr>
              <w:t>Uniformity, aw, thermal efficiency.</w:t>
            </w:r>
          </w:p>
        </w:tc>
      </w:tr>
      <w:tr>
        <w:tc>
          <w:tcPr>
            <w:tcW w:type="dxa" w:w="1984"/>
            <w:shd w:fill="FFFFFF"/>
          </w:tcPr>
          <w:p>
            <w:pPr>
              <w:spacing w:after="0"/>
            </w:pPr>
            <w:r/>
            <w:r>
              <w:rPr>
                <w:rFonts w:ascii="Aptos" w:hAnsi="Aptos"/>
                <w:b w:val="0"/>
                <w:i w:val="0"/>
                <w:color w:val="1E252B"/>
                <w:sz w:val="16"/>
              </w:rPr>
              <w:t>Coating</w:t>
            </w:r>
          </w:p>
        </w:tc>
        <w:tc>
          <w:tcPr>
            <w:tcW w:type="dxa" w:w="4025"/>
            <w:shd w:fill="FFFFFF"/>
          </w:tcPr>
          <w:p>
            <w:pPr>
              <w:spacing w:after="0"/>
            </w:pPr>
            <w:r/>
            <w:r>
              <w:rPr>
                <w:rFonts w:ascii="Aptos" w:hAnsi="Aptos"/>
                <w:b w:val="0"/>
                <w:i w:val="0"/>
                <w:color w:val="1E252B"/>
                <w:sz w:val="16"/>
              </w:rPr>
              <w:t>Apply oils, flavors, and actives.</w:t>
            </w:r>
          </w:p>
        </w:tc>
        <w:tc>
          <w:tcPr>
            <w:tcW w:type="dxa" w:w="3458"/>
            <w:shd w:fill="FFFFFF"/>
          </w:tcPr>
          <w:p>
            <w:pPr>
              <w:spacing w:after="0"/>
            </w:pPr>
            <w:r/>
            <w:r>
              <w:rPr>
                <w:rFonts w:ascii="Aptos" w:hAnsi="Aptos"/>
                <w:b w:val="0"/>
                <w:i w:val="0"/>
                <w:color w:val="1E252B"/>
                <w:sz w:val="16"/>
              </w:rPr>
              <w:t>Dosing, oxidation, uniformity.</w:t>
            </w:r>
          </w:p>
        </w:tc>
      </w:tr>
      <w:tr>
        <w:tc>
          <w:tcPr>
            <w:tcW w:type="dxa" w:w="1984"/>
            <w:shd w:fill="F3F6F8"/>
          </w:tcPr>
          <w:p>
            <w:pPr>
              <w:spacing w:after="0"/>
            </w:pPr>
            <w:r/>
            <w:r>
              <w:rPr>
                <w:rFonts w:ascii="Aptos" w:hAnsi="Aptos"/>
                <w:b w:val="0"/>
                <w:i w:val="0"/>
                <w:color w:val="1E252B"/>
                <w:sz w:val="16"/>
              </w:rPr>
              <w:t>Packing and release</w:t>
            </w:r>
          </w:p>
        </w:tc>
        <w:tc>
          <w:tcPr>
            <w:tcW w:type="dxa" w:w="4025"/>
            <w:shd w:fill="F3F6F8"/>
          </w:tcPr>
          <w:p>
            <w:pPr>
              <w:spacing w:after="0"/>
            </w:pPr>
            <w:r/>
            <w:r>
              <w:rPr>
                <w:rFonts w:ascii="Aptos" w:hAnsi="Aptos"/>
                <w:b w:val="0"/>
                <w:i w:val="0"/>
                <w:color w:val="1E252B"/>
                <w:sz w:val="16"/>
              </w:rPr>
              <w:t>Protect, code, and approve each lot.</w:t>
            </w:r>
          </w:p>
        </w:tc>
        <w:tc>
          <w:tcPr>
            <w:tcW w:type="dxa" w:w="3458"/>
            <w:shd w:fill="F3F6F8"/>
          </w:tcPr>
          <w:p>
            <w:pPr>
              <w:spacing w:after="0"/>
            </w:pPr>
            <w:r/>
            <w:r>
              <w:rPr>
                <w:rFonts w:ascii="Aptos" w:hAnsi="Aptos"/>
                <w:b w:val="0"/>
                <w:i w:val="0"/>
                <w:color w:val="1E252B"/>
                <w:sz w:val="16"/>
              </w:rPr>
              <w:t>Metal, weight, seal, FEFO.</w:t>
            </w:r>
          </w:p>
        </w:tc>
      </w:tr>
    </w:tbl>
    <w:p/>
    <w:p>
      <w:pPr>
        <w:spacing w:after="120" w:line="271" w:lineRule="auto"/>
        <w:jc w:val="both"/>
      </w:pPr>
      <w:r>
        <w:rPr>
          <w:rFonts w:ascii="Aptos" w:hAnsi="Aptos"/>
          <w:b w:val="0"/>
          <w:i w:val="0"/>
          <w:color w:val="1E252B"/>
          <w:sz w:val="20"/>
        </w:rPr>
        <w:t>Twin-screw extrusion is preferred for human-food products because it offers ingredient flexibility and tighter control of mechanical energy and texture. Some feed products can use lower-cost single-screw systems. The final selection must follow pilot trials with Argentine ingredients and target specifications.</w:t>
      </w:r>
    </w:p>
    <w:p>
      <w:r>
        <w:br w:type="page"/>
      </w:r>
    </w:p>
    <w:p>
      <w:pPr>
        <w:spacing w:after="60"/>
      </w:pPr>
      <w:r>
        <w:rPr>
          <w:rFonts w:ascii="Aptos" w:hAnsi="Aptos"/>
          <w:b/>
          <w:i w:val="0"/>
          <w:color w:val="C5A253"/>
          <w:sz w:val="17"/>
        </w:rPr>
        <w:t>TWO PHASES</w:t>
      </w:r>
    </w:p>
    <w:p>
      <w:pPr>
        <w:spacing w:after="200"/>
      </w:pPr>
      <w:r>
        <w:rPr>
          <w:rFonts w:ascii="Aptos" w:hAnsi="Aptos"/>
          <w:b/>
          <w:i w:val="0"/>
          <w:color w:val="0B1F3A"/>
          <w:sz w:val="40"/>
        </w:rPr>
        <w:t>Capacity and Operating Basis</w:t>
      </w:r>
    </w:p>
    <w:tbl>
      <w:tblPr>
        <w:tblW w:type="auto" w:w="0"/>
        <w:jc w:val="center"/>
        <w:tblLayout w:type="fixed"/>
        <w:tblLook w:firstColumn="1" w:firstRow="1" w:lastColumn="0" w:lastRow="0" w:noHBand="0" w:noVBand="1" w:val="04A0"/>
      </w:tblPr>
      <w:tblGrid>
        <w:gridCol w:w="3156"/>
        <w:gridCol w:w="3156"/>
        <w:gridCol w:w="3156"/>
      </w:tblGrid>
      <w:tr>
        <w:tc>
          <w:tcPr>
            <w:tcW w:type="dxa" w:w="2835"/>
            <w:shd w:fill="0B1F3A"/>
          </w:tcPr>
          <w:p>
            <w:pPr>
              <w:spacing w:after="0"/>
            </w:pPr>
            <w:r/>
            <w:r>
              <w:rPr>
                <w:rFonts w:ascii="Aptos" w:hAnsi="Aptos"/>
                <w:b/>
                <w:i w:val="0"/>
                <w:color w:val="FFFFFF"/>
                <w:sz w:val="16"/>
              </w:rPr>
              <w:t>Parameter</w:t>
            </w:r>
          </w:p>
        </w:tc>
        <w:tc>
          <w:tcPr>
            <w:tcW w:type="dxa" w:w="3288"/>
            <w:shd w:fill="0B1F3A"/>
          </w:tcPr>
          <w:p>
            <w:pPr>
              <w:spacing w:after="0"/>
            </w:pPr>
            <w:r/>
            <w:r>
              <w:rPr>
                <w:rFonts w:ascii="Aptos" w:hAnsi="Aptos"/>
                <w:b/>
                <w:i w:val="0"/>
                <w:color w:val="FFFFFF"/>
                <w:sz w:val="16"/>
              </w:rPr>
              <w:t>Phase 1</w:t>
            </w:r>
          </w:p>
        </w:tc>
        <w:tc>
          <w:tcPr>
            <w:tcW w:type="dxa" w:w="3288"/>
            <w:shd w:fill="0B1F3A"/>
          </w:tcPr>
          <w:p>
            <w:pPr>
              <w:spacing w:after="0"/>
            </w:pPr>
            <w:r/>
            <w:r>
              <w:rPr>
                <w:rFonts w:ascii="Aptos" w:hAnsi="Aptos"/>
                <w:b/>
                <w:i w:val="0"/>
                <w:color w:val="FFFFFF"/>
                <w:sz w:val="16"/>
              </w:rPr>
              <w:t>Phase 2</w:t>
            </w:r>
          </w:p>
        </w:tc>
      </w:tr>
      <w:tr>
        <w:tc>
          <w:tcPr>
            <w:tcW w:type="dxa" w:w="2835"/>
            <w:shd w:fill="FFFFFF"/>
          </w:tcPr>
          <w:p>
            <w:pPr>
              <w:spacing w:after="0"/>
            </w:pPr>
            <w:r/>
            <w:r>
              <w:rPr>
                <w:rFonts w:ascii="Aptos" w:hAnsi="Aptos"/>
                <w:b w:val="0"/>
                <w:i w:val="0"/>
                <w:color w:val="1E252B"/>
                <w:sz w:val="16"/>
              </w:rPr>
              <w:t>Annual nameplate capacity</w:t>
            </w:r>
          </w:p>
        </w:tc>
        <w:tc>
          <w:tcPr>
            <w:tcW w:type="dxa" w:w="3288"/>
            <w:shd w:fill="FFFFFF"/>
          </w:tcPr>
          <w:p>
            <w:pPr>
              <w:spacing w:after="0"/>
            </w:pPr>
            <w:r/>
            <w:r>
              <w:rPr>
                <w:rFonts w:ascii="Aptos" w:hAnsi="Aptos"/>
                <w:b w:val="0"/>
                <w:i w:val="0"/>
                <w:color w:val="1E252B"/>
                <w:sz w:val="16"/>
              </w:rPr>
              <w:t>30,000 t</w:t>
            </w:r>
          </w:p>
        </w:tc>
        <w:tc>
          <w:tcPr>
            <w:tcW w:type="dxa" w:w="3288"/>
            <w:shd w:fill="FFFFFF"/>
          </w:tcPr>
          <w:p>
            <w:pPr>
              <w:spacing w:after="0"/>
            </w:pPr>
            <w:r/>
            <w:r>
              <w:rPr>
                <w:rFonts w:ascii="Aptos" w:hAnsi="Aptos"/>
                <w:b w:val="0"/>
                <w:i w:val="0"/>
                <w:color w:val="1E252B"/>
                <w:sz w:val="16"/>
              </w:rPr>
              <w:t>65,000 t</w:t>
            </w:r>
          </w:p>
        </w:tc>
      </w:tr>
      <w:tr>
        <w:tc>
          <w:tcPr>
            <w:tcW w:type="dxa" w:w="2835"/>
            <w:shd w:fill="F3F6F8"/>
          </w:tcPr>
          <w:p>
            <w:pPr>
              <w:spacing w:after="0"/>
            </w:pPr>
            <w:r/>
            <w:r>
              <w:rPr>
                <w:rFonts w:ascii="Aptos" w:hAnsi="Aptos"/>
                <w:b w:val="0"/>
                <w:i w:val="0"/>
                <w:color w:val="1E252B"/>
                <w:sz w:val="16"/>
              </w:rPr>
              <w:t>Operating days</w:t>
            </w:r>
          </w:p>
        </w:tc>
        <w:tc>
          <w:tcPr>
            <w:tcW w:type="dxa" w:w="3288"/>
            <w:shd w:fill="F3F6F8"/>
          </w:tcPr>
          <w:p>
            <w:pPr>
              <w:spacing w:after="0"/>
            </w:pPr>
            <w:r/>
            <w:r>
              <w:rPr>
                <w:rFonts w:ascii="Aptos" w:hAnsi="Aptos"/>
                <w:b w:val="0"/>
                <w:i w:val="0"/>
                <w:color w:val="1E252B"/>
                <w:sz w:val="16"/>
              </w:rPr>
              <w:t>330</w:t>
            </w:r>
          </w:p>
        </w:tc>
        <w:tc>
          <w:tcPr>
            <w:tcW w:type="dxa" w:w="3288"/>
            <w:shd w:fill="F3F6F8"/>
          </w:tcPr>
          <w:p>
            <w:pPr>
              <w:spacing w:after="0"/>
            </w:pPr>
            <w:r/>
            <w:r>
              <w:rPr>
                <w:rFonts w:ascii="Aptos" w:hAnsi="Aptos"/>
                <w:b w:val="0"/>
                <w:i w:val="0"/>
                <w:color w:val="1E252B"/>
                <w:sz w:val="16"/>
              </w:rPr>
              <w:t>330</w:t>
            </w:r>
          </w:p>
        </w:tc>
      </w:tr>
      <w:tr>
        <w:tc>
          <w:tcPr>
            <w:tcW w:type="dxa" w:w="2835"/>
            <w:shd w:fill="FFFFFF"/>
          </w:tcPr>
          <w:p>
            <w:pPr>
              <w:spacing w:after="0"/>
            </w:pPr>
            <w:r/>
            <w:r>
              <w:rPr>
                <w:rFonts w:ascii="Aptos" w:hAnsi="Aptos"/>
                <w:b w:val="0"/>
                <w:i w:val="0"/>
                <w:color w:val="1E252B"/>
                <w:sz w:val="16"/>
              </w:rPr>
              <w:t>Operating hours/day</w:t>
            </w:r>
          </w:p>
        </w:tc>
        <w:tc>
          <w:tcPr>
            <w:tcW w:type="dxa" w:w="3288"/>
            <w:shd w:fill="FFFFFF"/>
          </w:tcPr>
          <w:p>
            <w:pPr>
              <w:spacing w:after="0"/>
            </w:pPr>
            <w:r/>
            <w:r>
              <w:rPr>
                <w:rFonts w:ascii="Aptos" w:hAnsi="Aptos"/>
                <w:b w:val="0"/>
                <w:i w:val="0"/>
                <w:color w:val="1E252B"/>
                <w:sz w:val="16"/>
              </w:rPr>
              <w:t>20–22</w:t>
            </w:r>
          </w:p>
        </w:tc>
        <w:tc>
          <w:tcPr>
            <w:tcW w:type="dxa" w:w="3288"/>
            <w:shd w:fill="FFFFFF"/>
          </w:tcPr>
          <w:p>
            <w:pPr>
              <w:spacing w:after="0"/>
            </w:pPr>
            <w:r/>
            <w:r>
              <w:rPr>
                <w:rFonts w:ascii="Aptos" w:hAnsi="Aptos"/>
                <w:b w:val="0"/>
                <w:i w:val="0"/>
                <w:color w:val="1E252B"/>
                <w:sz w:val="16"/>
              </w:rPr>
              <w:t>20–22</w:t>
            </w:r>
          </w:p>
        </w:tc>
      </w:tr>
      <w:tr>
        <w:tc>
          <w:tcPr>
            <w:tcW w:type="dxa" w:w="2835"/>
            <w:shd w:fill="F3F6F8"/>
          </w:tcPr>
          <w:p>
            <w:pPr>
              <w:spacing w:after="0"/>
            </w:pPr>
            <w:r/>
            <w:r>
              <w:rPr>
                <w:rFonts w:ascii="Aptos" w:hAnsi="Aptos"/>
                <w:b w:val="0"/>
                <w:i w:val="0"/>
                <w:color w:val="1E252B"/>
                <w:sz w:val="16"/>
              </w:rPr>
              <w:t>Effective hourly rate</w:t>
            </w:r>
          </w:p>
        </w:tc>
        <w:tc>
          <w:tcPr>
            <w:tcW w:type="dxa" w:w="3288"/>
            <w:shd w:fill="F3F6F8"/>
          </w:tcPr>
          <w:p>
            <w:pPr>
              <w:spacing w:after="0"/>
            </w:pPr>
            <w:r/>
            <w:r>
              <w:rPr>
                <w:rFonts w:ascii="Aptos" w:hAnsi="Aptos"/>
                <w:b w:val="0"/>
                <w:i w:val="0"/>
                <w:color w:val="1E252B"/>
                <w:sz w:val="16"/>
              </w:rPr>
              <w:t>4.1–4.6 t/h</w:t>
            </w:r>
          </w:p>
        </w:tc>
        <w:tc>
          <w:tcPr>
            <w:tcW w:type="dxa" w:w="3288"/>
            <w:shd w:fill="F3F6F8"/>
          </w:tcPr>
          <w:p>
            <w:pPr>
              <w:spacing w:after="0"/>
            </w:pPr>
            <w:r/>
            <w:r>
              <w:rPr>
                <w:rFonts w:ascii="Aptos" w:hAnsi="Aptos"/>
                <w:b w:val="0"/>
                <w:i w:val="0"/>
                <w:color w:val="1E252B"/>
                <w:sz w:val="16"/>
              </w:rPr>
              <w:t>8.9–9.8 t/h</w:t>
            </w:r>
          </w:p>
        </w:tc>
      </w:tr>
      <w:tr>
        <w:tc>
          <w:tcPr>
            <w:tcW w:type="dxa" w:w="2835"/>
            <w:shd w:fill="FFFFFF"/>
          </w:tcPr>
          <w:p>
            <w:pPr>
              <w:spacing w:after="0"/>
            </w:pPr>
            <w:r/>
            <w:r>
              <w:rPr>
                <w:rFonts w:ascii="Aptos" w:hAnsi="Aptos"/>
                <w:b w:val="0"/>
                <w:i w:val="0"/>
                <w:color w:val="1E252B"/>
                <w:sz w:val="16"/>
              </w:rPr>
              <w:t>Process lines</w:t>
            </w:r>
          </w:p>
        </w:tc>
        <w:tc>
          <w:tcPr>
            <w:tcW w:type="dxa" w:w="3288"/>
            <w:shd w:fill="FFFFFF"/>
          </w:tcPr>
          <w:p>
            <w:pPr>
              <w:spacing w:after="0"/>
            </w:pPr>
            <w:r/>
            <w:r>
              <w:rPr>
                <w:rFonts w:ascii="Aptos" w:hAnsi="Aptos"/>
                <w:b w:val="0"/>
                <w:i w:val="0"/>
                <w:color w:val="1E252B"/>
                <w:sz w:val="16"/>
              </w:rPr>
              <w:t>2 modular lines</w:t>
            </w:r>
          </w:p>
        </w:tc>
        <w:tc>
          <w:tcPr>
            <w:tcW w:type="dxa" w:w="3288"/>
            <w:shd w:fill="FFFFFF"/>
          </w:tcPr>
          <w:p>
            <w:pPr>
              <w:spacing w:after="0"/>
            </w:pPr>
            <w:r/>
            <w:r>
              <w:rPr>
                <w:rFonts w:ascii="Aptos" w:hAnsi="Aptos"/>
                <w:b w:val="0"/>
                <w:i w:val="0"/>
                <w:color w:val="1E252B"/>
                <w:sz w:val="16"/>
              </w:rPr>
              <w:t>3–4 modular lines</w:t>
            </w:r>
          </w:p>
        </w:tc>
      </w:tr>
      <w:tr>
        <w:tc>
          <w:tcPr>
            <w:tcW w:type="dxa" w:w="2835"/>
            <w:shd w:fill="F3F6F8"/>
          </w:tcPr>
          <w:p>
            <w:pPr>
              <w:spacing w:after="0"/>
            </w:pPr>
            <w:r/>
            <w:r>
              <w:rPr>
                <w:rFonts w:ascii="Aptos" w:hAnsi="Aptos"/>
                <w:b w:val="0"/>
                <w:i w:val="0"/>
                <w:color w:val="1E252B"/>
                <w:sz w:val="16"/>
              </w:rPr>
              <w:t>Target utilization</w:t>
            </w:r>
          </w:p>
        </w:tc>
        <w:tc>
          <w:tcPr>
            <w:tcW w:type="dxa" w:w="3288"/>
            <w:shd w:fill="F3F6F8"/>
          </w:tcPr>
          <w:p>
            <w:pPr>
              <w:spacing w:after="0"/>
            </w:pPr>
            <w:r/>
            <w:r>
              <w:rPr>
                <w:rFonts w:ascii="Aptos" w:hAnsi="Aptos"/>
                <w:b w:val="0"/>
                <w:i w:val="0"/>
                <w:color w:val="1E252B"/>
                <w:sz w:val="16"/>
              </w:rPr>
              <w:t>80–95%</w:t>
            </w:r>
          </w:p>
        </w:tc>
        <w:tc>
          <w:tcPr>
            <w:tcW w:type="dxa" w:w="3288"/>
            <w:shd w:fill="F3F6F8"/>
          </w:tcPr>
          <w:p>
            <w:pPr>
              <w:spacing w:after="0"/>
            </w:pPr>
            <w:r/>
            <w:r>
              <w:rPr>
                <w:rFonts w:ascii="Aptos" w:hAnsi="Aptos"/>
                <w:b w:val="0"/>
                <w:i w:val="0"/>
                <w:color w:val="1E252B"/>
                <w:sz w:val="16"/>
              </w:rPr>
              <w:t>85–95%</w:t>
            </w:r>
          </w:p>
        </w:tc>
      </w:tr>
      <w:tr>
        <w:tc>
          <w:tcPr>
            <w:tcW w:type="dxa" w:w="2835"/>
            <w:shd w:fill="FFFFFF"/>
          </w:tcPr>
          <w:p>
            <w:pPr>
              <w:spacing w:after="0"/>
            </w:pPr>
            <w:r/>
            <w:r>
              <w:rPr>
                <w:rFonts w:ascii="Aptos" w:hAnsi="Aptos"/>
                <w:b w:val="0"/>
                <w:i w:val="0"/>
                <w:color w:val="1E252B"/>
                <w:sz w:val="16"/>
              </w:rPr>
              <w:t>Target OEE</w:t>
            </w:r>
          </w:p>
        </w:tc>
        <w:tc>
          <w:tcPr>
            <w:tcW w:type="dxa" w:w="3288"/>
            <w:shd w:fill="FFFFFF"/>
          </w:tcPr>
          <w:p>
            <w:pPr>
              <w:spacing w:after="0"/>
            </w:pPr>
            <w:r/>
            <w:r>
              <w:rPr>
                <w:rFonts w:ascii="Aptos" w:hAnsi="Aptos"/>
                <w:b w:val="0"/>
                <w:i w:val="0"/>
                <w:color w:val="1E252B"/>
                <w:sz w:val="16"/>
              </w:rPr>
              <w:t>≥70% at start; ≥78% mature</w:t>
            </w:r>
          </w:p>
        </w:tc>
        <w:tc>
          <w:tcPr>
            <w:tcW w:type="dxa" w:w="3288"/>
            <w:shd w:fill="FFFFFF"/>
          </w:tcPr>
          <w:p>
            <w:pPr>
              <w:spacing w:after="0"/>
            </w:pPr>
            <w:r/>
            <w:r>
              <w:rPr>
                <w:rFonts w:ascii="Aptos" w:hAnsi="Aptos"/>
                <w:b w:val="0"/>
                <w:i w:val="0"/>
                <w:color w:val="1E252B"/>
                <w:sz w:val="16"/>
              </w:rPr>
              <w:t>≥80%</w:t>
            </w:r>
          </w:p>
        </w:tc>
      </w:tr>
    </w:tbl>
    <w:p/>
    <w:p>
      <w:pPr>
        <w:spacing w:after="120" w:line="271" w:lineRule="auto"/>
        <w:jc w:val="both"/>
      </w:pPr>
      <w:r>
        <w:rPr>
          <w:rFonts w:ascii="Aptos" w:hAnsi="Aptos"/>
          <w:b w:val="0"/>
          <w:i w:val="0"/>
          <w:color w:val="1E252B"/>
          <w:sz w:val="20"/>
        </w:rPr>
        <w:t>The update replaces the historical assumption of 360 operating days and four six-hour shifts. Planned maintenance, sanitation, product changes, validation, and cleaning require protected downtime. Saleable capacity must be calculated from OEE and the actual SKU mix, not from extruder nameplate throughput alone.</w:t>
      </w:r>
    </w:p>
    <w:p>
      <w:r>
        <w:br w:type="page"/>
      </w:r>
    </w:p>
    <w:p>
      <w:pPr>
        <w:spacing w:after="60"/>
      </w:pPr>
      <w:r>
        <w:rPr>
          <w:rFonts w:ascii="Aptos" w:hAnsi="Aptos"/>
          <w:b/>
          <w:i w:val="0"/>
          <w:color w:val="C5A253"/>
          <w:sz w:val="17"/>
        </w:rPr>
        <w:t>FACILITY FLOW</w:t>
      </w:r>
    </w:p>
    <w:p>
      <w:pPr>
        <w:spacing w:after="200"/>
      </w:pPr>
      <w:r>
        <w:rPr>
          <w:rFonts w:ascii="Aptos" w:hAnsi="Aptos"/>
          <w:b/>
          <w:i w:val="0"/>
          <w:color w:val="0B1F3A"/>
          <w:sz w:val="40"/>
        </w:rPr>
        <w:t>Conceptual Layout and Hygienic Zoning</w:t>
      </w:r>
    </w:p>
    <w:p>
      <w:pPr>
        <w:spacing w:after="120" w:line="271" w:lineRule="auto"/>
        <w:jc w:val="both"/>
      </w:pPr>
      <w:r>
        <w:rPr>
          <w:rFonts w:ascii="Aptos" w:hAnsi="Aptos"/>
          <w:b w:val="0"/>
          <w:i w:val="0"/>
          <w:color w:val="1E252B"/>
          <w:sz w:val="20"/>
        </w:rPr>
        <w:t>The plant follows a one-way material flow from receiving to dispatch, with personnel circulation separated from truck traffic and physical segregation between human-food and animal-feed operations. The master plan must reserve expansion zones for silos, extrusion, drying, and packaging so phase 2 can be installed without compromising clean operations.</w:t>
      </w:r>
    </w:p>
    <w:tbl>
      <w:tblPr>
        <w:tblW w:type="auto" w:w="0"/>
        <w:jc w:val="center"/>
        <w:tblLayout w:type="fixed"/>
        <w:tblLook w:firstColumn="1" w:firstRow="1" w:lastColumn="0" w:lastRow="0" w:noHBand="0" w:noVBand="1" w:val="04A0"/>
      </w:tblPr>
      <w:tblGrid>
        <w:gridCol w:w="3156"/>
        <w:gridCol w:w="3156"/>
        <w:gridCol w:w="3156"/>
      </w:tblGrid>
      <w:tr>
        <w:tc>
          <w:tcPr>
            <w:tcW w:type="dxa" w:w="2268"/>
            <w:shd w:fill="0B1F3A"/>
          </w:tcPr>
          <w:p>
            <w:pPr>
              <w:spacing w:after="0"/>
            </w:pPr>
            <w:r/>
            <w:r>
              <w:rPr>
                <w:rFonts w:ascii="Aptos" w:hAnsi="Aptos"/>
                <w:b/>
                <w:i w:val="0"/>
                <w:color w:val="FFFFFF"/>
                <w:sz w:val="16"/>
              </w:rPr>
              <w:t>Zone</w:t>
            </w:r>
          </w:p>
        </w:tc>
        <w:tc>
          <w:tcPr>
            <w:tcW w:type="dxa" w:w="3515"/>
            <w:shd w:fill="0B1F3A"/>
          </w:tcPr>
          <w:p>
            <w:pPr>
              <w:spacing w:after="0"/>
            </w:pPr>
            <w:r/>
            <w:r>
              <w:rPr>
                <w:rFonts w:ascii="Aptos" w:hAnsi="Aptos"/>
                <w:b/>
                <w:i w:val="0"/>
                <w:color w:val="FFFFFF"/>
                <w:sz w:val="16"/>
              </w:rPr>
              <w:t>Hygiene/pressure</w:t>
            </w:r>
          </w:p>
        </w:tc>
        <w:tc>
          <w:tcPr>
            <w:tcW w:type="dxa" w:w="3628"/>
            <w:shd w:fill="0B1F3A"/>
          </w:tcPr>
          <w:p>
            <w:pPr>
              <w:spacing w:after="0"/>
            </w:pPr>
            <w:r/>
            <w:r>
              <w:rPr>
                <w:rFonts w:ascii="Aptos" w:hAnsi="Aptos"/>
                <w:b/>
                <w:i w:val="0"/>
                <w:color w:val="FFFFFF"/>
                <w:sz w:val="16"/>
              </w:rPr>
              <w:t>Segregation principle</w:t>
            </w:r>
          </w:p>
        </w:tc>
      </w:tr>
      <w:tr>
        <w:tc>
          <w:tcPr>
            <w:tcW w:type="dxa" w:w="2268"/>
            <w:shd w:fill="FFFFFF"/>
          </w:tcPr>
          <w:p>
            <w:pPr>
              <w:spacing w:after="0"/>
            </w:pPr>
            <w:r/>
            <w:r>
              <w:rPr>
                <w:rFonts w:ascii="Aptos" w:hAnsi="Aptos"/>
                <w:b w:val="0"/>
                <w:i w:val="0"/>
                <w:color w:val="1E252B"/>
                <w:sz w:val="16"/>
              </w:rPr>
              <w:t>Receiving/silos</w:t>
            </w:r>
          </w:p>
        </w:tc>
        <w:tc>
          <w:tcPr>
            <w:tcW w:type="dxa" w:w="3515"/>
            <w:shd w:fill="FFFFFF"/>
          </w:tcPr>
          <w:p>
            <w:pPr>
              <w:spacing w:after="0"/>
            </w:pPr>
            <w:r/>
            <w:r>
              <w:rPr>
                <w:rFonts w:ascii="Aptos" w:hAnsi="Aptos"/>
                <w:b w:val="0"/>
                <w:i w:val="0"/>
                <w:color w:val="1E252B"/>
                <w:sz w:val="16"/>
              </w:rPr>
              <w:t>Dusty; local extraction.</w:t>
            </w:r>
          </w:p>
        </w:tc>
        <w:tc>
          <w:tcPr>
            <w:tcW w:type="dxa" w:w="3628"/>
            <w:shd w:fill="FFFFFF"/>
          </w:tcPr>
          <w:p>
            <w:pPr>
              <w:spacing w:after="0"/>
            </w:pPr>
            <w:r/>
            <w:r>
              <w:rPr>
                <w:rFonts w:ascii="Aptos" w:hAnsi="Aptos"/>
                <w:b w:val="0"/>
                <w:i w:val="0"/>
                <w:color w:val="1E252B"/>
                <w:sz w:val="16"/>
              </w:rPr>
              <w:t>Quarantine, approved, rejected, and allergens.</w:t>
            </w:r>
          </w:p>
        </w:tc>
      </w:tr>
      <w:tr>
        <w:tc>
          <w:tcPr>
            <w:tcW w:type="dxa" w:w="2268"/>
            <w:shd w:fill="F3F6F8"/>
          </w:tcPr>
          <w:p>
            <w:pPr>
              <w:spacing w:after="0"/>
            </w:pPr>
            <w:r/>
            <w:r>
              <w:rPr>
                <w:rFonts w:ascii="Aptos" w:hAnsi="Aptos"/>
                <w:b w:val="0"/>
                <w:i w:val="0"/>
                <w:color w:val="1E252B"/>
                <w:sz w:val="16"/>
              </w:rPr>
              <w:t>Human-food process</w:t>
            </w:r>
          </w:p>
        </w:tc>
        <w:tc>
          <w:tcPr>
            <w:tcW w:type="dxa" w:w="3515"/>
            <w:shd w:fill="F3F6F8"/>
          </w:tcPr>
          <w:p>
            <w:pPr>
              <w:spacing w:after="0"/>
            </w:pPr>
            <w:r/>
            <w:r>
              <w:rPr>
                <w:rFonts w:ascii="Aptos" w:hAnsi="Aptos"/>
                <w:b w:val="0"/>
                <w:i w:val="0"/>
                <w:color w:val="1E252B"/>
                <w:sz w:val="16"/>
              </w:rPr>
              <w:t>Controlled hygiene; positive pressure where justified.</w:t>
            </w:r>
          </w:p>
        </w:tc>
        <w:tc>
          <w:tcPr>
            <w:tcW w:type="dxa" w:w="3628"/>
            <w:shd w:fill="F3F6F8"/>
          </w:tcPr>
          <w:p>
            <w:pPr>
              <w:spacing w:after="0"/>
            </w:pPr>
            <w:r/>
            <w:r>
              <w:rPr>
                <w:rFonts w:ascii="Aptos" w:hAnsi="Aptos"/>
                <w:b w:val="0"/>
                <w:i w:val="0"/>
                <w:color w:val="1E252B"/>
                <w:sz w:val="16"/>
              </w:rPr>
              <w:t>Dedicated people, tools, air, and rework.</w:t>
            </w:r>
          </w:p>
        </w:tc>
      </w:tr>
      <w:tr>
        <w:tc>
          <w:tcPr>
            <w:tcW w:type="dxa" w:w="2268"/>
            <w:shd w:fill="FFFFFF"/>
          </w:tcPr>
          <w:p>
            <w:pPr>
              <w:spacing w:after="0"/>
            </w:pPr>
            <w:r/>
            <w:r>
              <w:rPr>
                <w:rFonts w:ascii="Aptos" w:hAnsi="Aptos"/>
                <w:b w:val="0"/>
                <w:i w:val="0"/>
                <w:color w:val="1E252B"/>
                <w:sz w:val="16"/>
              </w:rPr>
              <w:t>Animal-feed process</w:t>
            </w:r>
          </w:p>
        </w:tc>
        <w:tc>
          <w:tcPr>
            <w:tcW w:type="dxa" w:w="3515"/>
            <w:shd w:fill="FFFFFF"/>
          </w:tcPr>
          <w:p>
            <w:pPr>
              <w:spacing w:after="0"/>
            </w:pPr>
            <w:r/>
            <w:r>
              <w:rPr>
                <w:rFonts w:ascii="Aptos" w:hAnsi="Aptos"/>
                <w:b w:val="0"/>
                <w:i w:val="0"/>
                <w:color w:val="1E252B"/>
                <w:sz w:val="16"/>
              </w:rPr>
              <w:t>GMP and SENASA controls.</w:t>
            </w:r>
          </w:p>
        </w:tc>
        <w:tc>
          <w:tcPr>
            <w:tcW w:type="dxa" w:w="3628"/>
            <w:shd w:fill="FFFFFF"/>
          </w:tcPr>
          <w:p>
            <w:pPr>
              <w:spacing w:after="0"/>
            </w:pPr>
            <w:r/>
            <w:r>
              <w:rPr>
                <w:rFonts w:ascii="Aptos" w:hAnsi="Aptos"/>
                <w:b w:val="0"/>
                <w:i w:val="0"/>
                <w:color w:val="1E252B"/>
                <w:sz w:val="16"/>
              </w:rPr>
              <w:t>Species/formula separation; medication if applicable.</w:t>
            </w:r>
          </w:p>
        </w:tc>
      </w:tr>
      <w:tr>
        <w:tc>
          <w:tcPr>
            <w:tcW w:type="dxa" w:w="2268"/>
            <w:shd w:fill="F3F6F8"/>
          </w:tcPr>
          <w:p>
            <w:pPr>
              <w:spacing w:after="0"/>
            </w:pPr>
            <w:r/>
            <w:r>
              <w:rPr>
                <w:rFonts w:ascii="Aptos" w:hAnsi="Aptos"/>
                <w:b w:val="0"/>
                <w:i w:val="0"/>
                <w:color w:val="1E252B"/>
                <w:sz w:val="16"/>
              </w:rPr>
              <w:t>Human-food packaging</w:t>
            </w:r>
          </w:p>
        </w:tc>
        <w:tc>
          <w:tcPr>
            <w:tcW w:type="dxa" w:w="3515"/>
            <w:shd w:fill="F3F6F8"/>
          </w:tcPr>
          <w:p>
            <w:pPr>
              <w:spacing w:after="0"/>
            </w:pPr>
            <w:r/>
            <w:r>
              <w:rPr>
                <w:rFonts w:ascii="Aptos" w:hAnsi="Aptos"/>
                <w:b w:val="0"/>
                <w:i w:val="0"/>
                <w:color w:val="1E252B"/>
                <w:sz w:val="16"/>
              </w:rPr>
              <w:t>High protection of exposed product.</w:t>
            </w:r>
          </w:p>
        </w:tc>
        <w:tc>
          <w:tcPr>
            <w:tcW w:type="dxa" w:w="3628"/>
            <w:shd w:fill="F3F6F8"/>
          </w:tcPr>
          <w:p>
            <w:pPr>
              <w:spacing w:after="0"/>
            </w:pPr>
            <w:r/>
            <w:r>
              <w:rPr>
                <w:rFonts w:ascii="Aptos" w:hAnsi="Aptos"/>
                <w:b w:val="0"/>
                <w:i w:val="0"/>
                <w:color w:val="1E252B"/>
                <w:sz w:val="16"/>
              </w:rPr>
              <w:t>Approved materials and metal control.</w:t>
            </w:r>
          </w:p>
        </w:tc>
      </w:tr>
      <w:tr>
        <w:tc>
          <w:tcPr>
            <w:tcW w:type="dxa" w:w="2268"/>
            <w:shd w:fill="FFFFFF"/>
          </w:tcPr>
          <w:p>
            <w:pPr>
              <w:spacing w:after="0"/>
            </w:pPr>
            <w:r/>
            <w:r>
              <w:rPr>
                <w:rFonts w:ascii="Aptos" w:hAnsi="Aptos"/>
                <w:b w:val="0"/>
                <w:i w:val="0"/>
                <w:color w:val="1E252B"/>
                <w:sz w:val="16"/>
              </w:rPr>
              <w:t>Utilities/waste</w:t>
            </w:r>
          </w:p>
        </w:tc>
        <w:tc>
          <w:tcPr>
            <w:tcW w:type="dxa" w:w="3515"/>
            <w:shd w:fill="FFFFFF"/>
          </w:tcPr>
          <w:p>
            <w:pPr>
              <w:spacing w:after="0"/>
            </w:pPr>
            <w:r/>
            <w:r>
              <w:rPr>
                <w:rFonts w:ascii="Aptos" w:hAnsi="Aptos"/>
                <w:b w:val="0"/>
                <w:i w:val="0"/>
                <w:color w:val="1E252B"/>
                <w:sz w:val="16"/>
              </w:rPr>
              <w:t>Independent technical access.</w:t>
            </w:r>
          </w:p>
        </w:tc>
        <w:tc>
          <w:tcPr>
            <w:tcW w:type="dxa" w:w="3628"/>
            <w:shd w:fill="FFFFFF"/>
          </w:tcPr>
          <w:p>
            <w:pPr>
              <w:spacing w:after="0"/>
            </w:pPr>
            <w:r/>
            <w:r>
              <w:rPr>
                <w:rFonts w:ascii="Aptos" w:hAnsi="Aptos"/>
                <w:b w:val="0"/>
                <w:i w:val="0"/>
                <w:color w:val="1E252B"/>
                <w:sz w:val="16"/>
              </w:rPr>
              <w:t>No crossing with finished product.</w:t>
            </w:r>
          </w:p>
        </w:tc>
      </w:tr>
    </w:tbl>
    <w:p/>
    <w:tbl>
      <w:tblPr>
        <w:tblW w:type="auto" w:w="0"/>
        <w:tblLook w:firstColumn="1" w:firstRow="1" w:lastColumn="0" w:lastRow="0" w:noHBand="0" w:noVBand="1" w:val="04A0"/>
      </w:tblPr>
      <w:tblGrid>
        <w:gridCol w:w="9468"/>
      </w:tblGrid>
      <w:tr>
        <w:tc>
          <w:tcPr>
            <w:tcW w:type="dxa" w:w="9468"/>
            <w:shd w:fill="F7F3E8"/>
          </w:tcPr>
          <w:p>
            <w:r/>
            <w:r>
              <w:rPr>
                <w:rFonts w:ascii="Aptos" w:hAnsi="Aptos"/>
                <w:b/>
                <w:i w:val="0"/>
                <w:color w:val="C5A253"/>
                <w:sz w:val="20"/>
              </w:rPr>
              <w:t>SEPARATE DELIVERABLE</w:t>
              <w:br/>
            </w:r>
            <w:r>
              <w:rPr>
                <w:rFonts w:ascii="Aptos" w:hAnsi="Aptos"/>
                <w:b w:val="0"/>
                <w:i w:val="0"/>
                <w:color w:val="1E252B"/>
                <w:sz w:val="19"/>
              </w:rPr>
              <w:t>The English conceptual layout infographic is supplied as a standalone A3 landscape PDF for technical review and presentations.</w:t>
            </w:r>
          </w:p>
        </w:tc>
      </w:tr>
    </w:tbl>
    <w:p/>
    <w:p>
      <w:r>
        <w:br w:type="page"/>
      </w:r>
    </w:p>
    <w:p>
      <w:pPr>
        <w:spacing w:after="60"/>
      </w:pPr>
      <w:r>
        <w:rPr>
          <w:rFonts w:ascii="Aptos" w:hAnsi="Aptos"/>
          <w:b/>
          <w:i w:val="0"/>
          <w:color w:val="C5A253"/>
          <w:sz w:val="17"/>
        </w:rPr>
        <w:t>PROCUREMENT</w:t>
      </w:r>
    </w:p>
    <w:p>
      <w:pPr>
        <w:spacing w:after="200"/>
      </w:pPr>
      <w:r>
        <w:rPr>
          <w:rFonts w:ascii="Aptos" w:hAnsi="Aptos"/>
          <w:b/>
          <w:i w:val="0"/>
          <w:color w:val="0B1F3A"/>
          <w:sz w:val="40"/>
        </w:rPr>
        <w:t>Main Equipment Packages</w:t>
      </w:r>
    </w:p>
    <w:tbl>
      <w:tblPr>
        <w:tblW w:type="auto" w:w="0"/>
        <w:jc w:val="center"/>
        <w:tblLayout w:type="fixed"/>
        <w:tblLook w:firstColumn="1" w:firstRow="1" w:lastColumn="0" w:lastRow="0" w:noHBand="0" w:noVBand="1" w:val="04A0"/>
      </w:tblPr>
      <w:tblGrid>
        <w:gridCol w:w="3156"/>
        <w:gridCol w:w="3156"/>
        <w:gridCol w:w="3156"/>
      </w:tblGrid>
      <w:tr>
        <w:tc>
          <w:tcPr>
            <w:tcW w:type="dxa" w:w="1984"/>
            <w:shd w:fill="0B1F3A"/>
          </w:tcPr>
          <w:p>
            <w:pPr>
              <w:spacing w:after="0"/>
            </w:pPr>
            <w:r/>
            <w:r>
              <w:rPr>
                <w:rFonts w:ascii="Aptos" w:hAnsi="Aptos"/>
                <w:b/>
                <w:i w:val="0"/>
                <w:color w:val="FFFFFF"/>
                <w:sz w:val="16"/>
              </w:rPr>
              <w:t>Package</w:t>
            </w:r>
          </w:p>
        </w:tc>
        <w:tc>
          <w:tcPr>
            <w:tcW w:type="dxa" w:w="4082"/>
            <w:shd w:fill="0B1F3A"/>
          </w:tcPr>
          <w:p>
            <w:pPr>
              <w:spacing w:after="0"/>
            </w:pPr>
            <w:r/>
            <w:r>
              <w:rPr>
                <w:rFonts w:ascii="Aptos" w:hAnsi="Aptos"/>
                <w:b/>
                <w:i w:val="0"/>
                <w:color w:val="FFFFFF"/>
                <w:sz w:val="16"/>
              </w:rPr>
              <w:t>Components</w:t>
            </w:r>
          </w:p>
        </w:tc>
        <w:tc>
          <w:tcPr>
            <w:tcW w:type="dxa" w:w="3402"/>
            <w:shd w:fill="0B1F3A"/>
          </w:tcPr>
          <w:p>
            <w:pPr>
              <w:spacing w:after="0"/>
            </w:pPr>
            <w:r/>
            <w:r>
              <w:rPr>
                <w:rFonts w:ascii="Aptos" w:hAnsi="Aptos"/>
                <w:b/>
                <w:i w:val="0"/>
                <w:color w:val="FFFFFF"/>
                <w:sz w:val="16"/>
              </w:rPr>
              <w:t>RFQ requirement</w:t>
            </w:r>
          </w:p>
        </w:tc>
      </w:tr>
      <w:tr>
        <w:tc>
          <w:tcPr>
            <w:tcW w:type="dxa" w:w="1984"/>
            <w:shd w:fill="FFFFFF"/>
          </w:tcPr>
          <w:p>
            <w:pPr>
              <w:spacing w:after="0"/>
            </w:pPr>
            <w:r/>
            <w:r>
              <w:rPr>
                <w:rFonts w:ascii="Aptos" w:hAnsi="Aptos"/>
                <w:b w:val="0"/>
                <w:i w:val="0"/>
                <w:color w:val="1E252B"/>
                <w:sz w:val="16"/>
              </w:rPr>
              <w:t>Receiving</w:t>
            </w:r>
          </w:p>
        </w:tc>
        <w:tc>
          <w:tcPr>
            <w:tcW w:type="dxa" w:w="4082"/>
            <w:shd w:fill="FFFFFF"/>
          </w:tcPr>
          <w:p>
            <w:pPr>
              <w:spacing w:after="0"/>
            </w:pPr>
            <w:r/>
            <w:r>
              <w:rPr>
                <w:rFonts w:ascii="Aptos" w:hAnsi="Aptos"/>
                <w:b w:val="0"/>
                <w:i w:val="0"/>
                <w:color w:val="1E252B"/>
                <w:sz w:val="16"/>
              </w:rPr>
              <w:t>Hoppers, conveying, magnet, aspiration, sampling.</w:t>
            </w:r>
          </w:p>
        </w:tc>
        <w:tc>
          <w:tcPr>
            <w:tcW w:type="dxa" w:w="3402"/>
            <w:shd w:fill="FFFFFF"/>
          </w:tcPr>
          <w:p>
            <w:pPr>
              <w:spacing w:after="0"/>
            </w:pPr>
            <w:r/>
            <w:r>
              <w:rPr>
                <w:rFonts w:ascii="Aptos" w:hAnsi="Aptos"/>
                <w:b w:val="0"/>
                <w:i w:val="0"/>
                <w:color w:val="1E252B"/>
                <w:sz w:val="16"/>
              </w:rPr>
              <w:t>Guaranteed capacity and dust control.</w:t>
            </w:r>
          </w:p>
        </w:tc>
      </w:tr>
      <w:tr>
        <w:tc>
          <w:tcPr>
            <w:tcW w:type="dxa" w:w="1984"/>
            <w:shd w:fill="F3F6F8"/>
          </w:tcPr>
          <w:p>
            <w:pPr>
              <w:spacing w:after="0"/>
            </w:pPr>
            <w:r/>
            <w:r>
              <w:rPr>
                <w:rFonts w:ascii="Aptos" w:hAnsi="Aptos"/>
                <w:b w:val="0"/>
                <w:i w:val="0"/>
                <w:color w:val="1E252B"/>
                <w:sz w:val="16"/>
              </w:rPr>
              <w:t>Preparation</w:t>
            </w:r>
          </w:p>
        </w:tc>
        <w:tc>
          <w:tcPr>
            <w:tcW w:type="dxa" w:w="4082"/>
            <w:shd w:fill="F3F6F8"/>
          </w:tcPr>
          <w:p>
            <w:pPr>
              <w:spacing w:after="0"/>
            </w:pPr>
            <w:r/>
            <w:r>
              <w:rPr>
                <w:rFonts w:ascii="Aptos" w:hAnsi="Aptos"/>
                <w:b w:val="0"/>
                <w:i w:val="0"/>
                <w:color w:val="1E252B"/>
                <w:sz w:val="16"/>
              </w:rPr>
              <w:t>Cleaner, mills, screens, micro-dosing.</w:t>
            </w:r>
          </w:p>
        </w:tc>
        <w:tc>
          <w:tcPr>
            <w:tcW w:type="dxa" w:w="3402"/>
            <w:shd w:fill="F3F6F8"/>
          </w:tcPr>
          <w:p>
            <w:pPr>
              <w:spacing w:after="0"/>
            </w:pPr>
            <w:r/>
            <w:r>
              <w:rPr>
                <w:rFonts w:ascii="Aptos" w:hAnsi="Aptos"/>
                <w:b w:val="0"/>
                <w:i w:val="0"/>
                <w:color w:val="1E252B"/>
                <w:sz w:val="16"/>
              </w:rPr>
              <w:t>Particle-size and dosing accuracy.</w:t>
            </w:r>
          </w:p>
        </w:tc>
      </w:tr>
      <w:tr>
        <w:tc>
          <w:tcPr>
            <w:tcW w:type="dxa" w:w="1984"/>
            <w:shd w:fill="FFFFFF"/>
          </w:tcPr>
          <w:p>
            <w:pPr>
              <w:spacing w:after="0"/>
            </w:pPr>
            <w:r/>
            <w:r>
              <w:rPr>
                <w:rFonts w:ascii="Aptos" w:hAnsi="Aptos"/>
                <w:b w:val="0"/>
                <w:i w:val="0"/>
                <w:color w:val="1E252B"/>
                <w:sz w:val="16"/>
              </w:rPr>
              <w:t>Human extrusion</w:t>
            </w:r>
          </w:p>
        </w:tc>
        <w:tc>
          <w:tcPr>
            <w:tcW w:type="dxa" w:w="4082"/>
            <w:shd w:fill="FFFFFF"/>
          </w:tcPr>
          <w:p>
            <w:pPr>
              <w:spacing w:after="0"/>
            </w:pPr>
            <w:r/>
            <w:r>
              <w:rPr>
                <w:rFonts w:ascii="Aptos" w:hAnsi="Aptos"/>
                <w:b w:val="0"/>
                <w:i w:val="0"/>
                <w:color w:val="1E252B"/>
                <w:sz w:val="16"/>
              </w:rPr>
              <w:t>Preconditioner, twin screw, dies, cutter.</w:t>
            </w:r>
          </w:p>
        </w:tc>
        <w:tc>
          <w:tcPr>
            <w:tcW w:type="dxa" w:w="3402"/>
            <w:shd w:fill="FFFFFF"/>
          </w:tcPr>
          <w:p>
            <w:pPr>
              <w:spacing w:after="0"/>
            </w:pPr>
            <w:r/>
            <w:r>
              <w:rPr>
                <w:rFonts w:ascii="Aptos" w:hAnsi="Aptos"/>
                <w:b w:val="0"/>
                <w:i w:val="0"/>
                <w:color w:val="1E252B"/>
                <w:sz w:val="16"/>
              </w:rPr>
              <w:t>Acceptance trial with target recipes.</w:t>
            </w:r>
          </w:p>
        </w:tc>
      </w:tr>
      <w:tr>
        <w:tc>
          <w:tcPr>
            <w:tcW w:type="dxa" w:w="1984"/>
            <w:shd w:fill="F3F6F8"/>
          </w:tcPr>
          <w:p>
            <w:pPr>
              <w:spacing w:after="0"/>
            </w:pPr>
            <w:r/>
            <w:r>
              <w:rPr>
                <w:rFonts w:ascii="Aptos" w:hAnsi="Aptos"/>
                <w:b w:val="0"/>
                <w:i w:val="0"/>
                <w:color w:val="1E252B"/>
                <w:sz w:val="16"/>
              </w:rPr>
              <w:t>Animal extrusion</w:t>
            </w:r>
          </w:p>
        </w:tc>
        <w:tc>
          <w:tcPr>
            <w:tcW w:type="dxa" w:w="4082"/>
            <w:shd w:fill="F3F6F8"/>
          </w:tcPr>
          <w:p>
            <w:pPr>
              <w:spacing w:after="0"/>
            </w:pPr>
            <w:r/>
            <w:r>
              <w:rPr>
                <w:rFonts w:ascii="Aptos" w:hAnsi="Aptos"/>
                <w:b w:val="0"/>
                <w:i w:val="0"/>
                <w:color w:val="1E252B"/>
                <w:sz w:val="16"/>
              </w:rPr>
              <w:t>Single/twin screw according to mix.</w:t>
            </w:r>
          </w:p>
        </w:tc>
        <w:tc>
          <w:tcPr>
            <w:tcW w:type="dxa" w:w="3402"/>
            <w:shd w:fill="F3F6F8"/>
          </w:tcPr>
          <w:p>
            <w:pPr>
              <w:spacing w:after="0"/>
            </w:pPr>
            <w:r/>
            <w:r>
              <w:rPr>
                <w:rFonts w:ascii="Aptos" w:hAnsi="Aptos"/>
                <w:b w:val="0"/>
                <w:i w:val="0"/>
                <w:color w:val="1E252B"/>
                <w:sz w:val="16"/>
              </w:rPr>
              <w:t>Floatability, density, specific energy.</w:t>
            </w:r>
          </w:p>
        </w:tc>
      </w:tr>
      <w:tr>
        <w:tc>
          <w:tcPr>
            <w:tcW w:type="dxa" w:w="1984"/>
            <w:shd w:fill="FFFFFF"/>
          </w:tcPr>
          <w:p>
            <w:pPr>
              <w:spacing w:after="0"/>
            </w:pPr>
            <w:r/>
            <w:r>
              <w:rPr>
                <w:rFonts w:ascii="Aptos" w:hAnsi="Aptos"/>
                <w:b w:val="0"/>
                <w:i w:val="0"/>
                <w:color w:val="1E252B"/>
                <w:sz w:val="16"/>
              </w:rPr>
              <w:t>Thermal</w:t>
            </w:r>
          </w:p>
        </w:tc>
        <w:tc>
          <w:tcPr>
            <w:tcW w:type="dxa" w:w="4082"/>
            <w:shd w:fill="FFFFFF"/>
          </w:tcPr>
          <w:p>
            <w:pPr>
              <w:spacing w:after="0"/>
            </w:pPr>
            <w:r/>
            <w:r>
              <w:rPr>
                <w:rFonts w:ascii="Aptos" w:hAnsi="Aptos"/>
                <w:b w:val="0"/>
                <w:i w:val="0"/>
                <w:color w:val="1E252B"/>
                <w:sz w:val="16"/>
              </w:rPr>
              <w:t>Dryer, cooler, boiler/thermal fluid.</w:t>
            </w:r>
          </w:p>
        </w:tc>
        <w:tc>
          <w:tcPr>
            <w:tcW w:type="dxa" w:w="3402"/>
            <w:shd w:fill="FFFFFF"/>
          </w:tcPr>
          <w:p>
            <w:pPr>
              <w:spacing w:after="0"/>
            </w:pPr>
            <w:r/>
            <w:r>
              <w:rPr>
                <w:rFonts w:ascii="Aptos" w:hAnsi="Aptos"/>
                <w:b w:val="0"/>
                <w:i w:val="0"/>
                <w:color w:val="1E252B"/>
                <w:sz w:val="16"/>
              </w:rPr>
              <w:t>Guaranteed energy per ton and heat recovery.</w:t>
            </w:r>
          </w:p>
        </w:tc>
      </w:tr>
      <w:tr>
        <w:tc>
          <w:tcPr>
            <w:tcW w:type="dxa" w:w="1984"/>
            <w:shd w:fill="F3F6F8"/>
          </w:tcPr>
          <w:p>
            <w:pPr>
              <w:spacing w:after="0"/>
            </w:pPr>
            <w:r/>
            <w:r>
              <w:rPr>
                <w:rFonts w:ascii="Aptos" w:hAnsi="Aptos"/>
                <w:b w:val="0"/>
                <w:i w:val="0"/>
                <w:color w:val="1E252B"/>
                <w:sz w:val="16"/>
              </w:rPr>
              <w:t>Finishing</w:t>
            </w:r>
          </w:p>
        </w:tc>
        <w:tc>
          <w:tcPr>
            <w:tcW w:type="dxa" w:w="4082"/>
            <w:shd w:fill="F3F6F8"/>
          </w:tcPr>
          <w:p>
            <w:pPr>
              <w:spacing w:after="0"/>
            </w:pPr>
            <w:r/>
            <w:r>
              <w:rPr>
                <w:rFonts w:ascii="Aptos" w:hAnsi="Aptos"/>
                <w:b w:val="0"/>
                <w:i w:val="0"/>
                <w:color w:val="1E252B"/>
                <w:sz w:val="16"/>
              </w:rPr>
              <w:t>Coater, bagging, palletizing, metal detector.</w:t>
            </w:r>
          </w:p>
        </w:tc>
        <w:tc>
          <w:tcPr>
            <w:tcW w:type="dxa" w:w="3402"/>
            <w:shd w:fill="F3F6F8"/>
          </w:tcPr>
          <w:p>
            <w:pPr>
              <w:spacing w:after="0"/>
            </w:pPr>
            <w:r/>
            <w:r>
              <w:rPr>
                <w:rFonts w:ascii="Aptos" w:hAnsi="Aptos"/>
                <w:b w:val="0"/>
                <w:i w:val="0"/>
                <w:color w:val="1E252B"/>
                <w:sz w:val="16"/>
              </w:rPr>
              <w:t>Accuracy, seal integrity, rapid changeover.</w:t>
            </w:r>
          </w:p>
        </w:tc>
      </w:tr>
      <w:tr>
        <w:tc>
          <w:tcPr>
            <w:tcW w:type="dxa" w:w="1984"/>
            <w:shd w:fill="FFFFFF"/>
          </w:tcPr>
          <w:p>
            <w:pPr>
              <w:spacing w:after="0"/>
            </w:pPr>
            <w:r/>
            <w:r>
              <w:rPr>
                <w:rFonts w:ascii="Aptos" w:hAnsi="Aptos"/>
                <w:b w:val="0"/>
                <w:i w:val="0"/>
                <w:color w:val="1E252B"/>
                <w:sz w:val="16"/>
              </w:rPr>
              <w:t>Automation</w:t>
            </w:r>
          </w:p>
        </w:tc>
        <w:tc>
          <w:tcPr>
            <w:tcW w:type="dxa" w:w="4082"/>
            <w:shd w:fill="FFFFFF"/>
          </w:tcPr>
          <w:p>
            <w:pPr>
              <w:spacing w:after="0"/>
            </w:pPr>
            <w:r/>
            <w:r>
              <w:rPr>
                <w:rFonts w:ascii="Aptos" w:hAnsi="Aptos"/>
                <w:b w:val="0"/>
                <w:i w:val="0"/>
                <w:color w:val="1E252B"/>
                <w:sz w:val="16"/>
              </w:rPr>
              <w:t>PLC/SCADA, recipes, traceability, OEE.</w:t>
            </w:r>
          </w:p>
        </w:tc>
        <w:tc>
          <w:tcPr>
            <w:tcW w:type="dxa" w:w="3402"/>
            <w:shd w:fill="FFFFFF"/>
          </w:tcPr>
          <w:p>
            <w:pPr>
              <w:spacing w:after="0"/>
            </w:pPr>
            <w:r/>
            <w:r>
              <w:rPr>
                <w:rFonts w:ascii="Aptos" w:hAnsi="Aptos"/>
                <w:b w:val="0"/>
                <w:i w:val="0"/>
                <w:color w:val="1E252B"/>
                <w:sz w:val="16"/>
              </w:rPr>
              <w:t>Cybersecurity, historian, local support.</w:t>
            </w:r>
          </w:p>
        </w:tc>
      </w:tr>
      <w:tr>
        <w:tc>
          <w:tcPr>
            <w:tcW w:type="dxa" w:w="1984"/>
            <w:shd w:fill="F3F6F8"/>
          </w:tcPr>
          <w:p>
            <w:pPr>
              <w:spacing w:after="0"/>
            </w:pPr>
            <w:r/>
            <w:r>
              <w:rPr>
                <w:rFonts w:ascii="Aptos" w:hAnsi="Aptos"/>
                <w:b w:val="0"/>
                <w:i w:val="0"/>
                <w:color w:val="1E252B"/>
                <w:sz w:val="16"/>
              </w:rPr>
              <w:t>Laboratory</w:t>
            </w:r>
          </w:p>
        </w:tc>
        <w:tc>
          <w:tcPr>
            <w:tcW w:type="dxa" w:w="4082"/>
            <w:shd w:fill="F3F6F8"/>
          </w:tcPr>
          <w:p>
            <w:pPr>
              <w:spacing w:after="0"/>
            </w:pPr>
            <w:r/>
            <w:r>
              <w:rPr>
                <w:rFonts w:ascii="Aptos" w:hAnsi="Aptos"/>
                <w:b w:val="0"/>
                <w:i w:val="0"/>
                <w:color w:val="1E252B"/>
                <w:sz w:val="16"/>
              </w:rPr>
              <w:t>NIR, moisture/aw, microbiology, texture.</w:t>
            </w:r>
          </w:p>
        </w:tc>
        <w:tc>
          <w:tcPr>
            <w:tcW w:type="dxa" w:w="3402"/>
            <w:shd w:fill="F3F6F8"/>
          </w:tcPr>
          <w:p>
            <w:pPr>
              <w:spacing w:after="0"/>
            </w:pPr>
            <w:r/>
            <w:r>
              <w:rPr>
                <w:rFonts w:ascii="Aptos" w:hAnsi="Aptos"/>
                <w:b w:val="0"/>
                <w:i w:val="0"/>
                <w:color w:val="1E252B"/>
                <w:sz w:val="16"/>
              </w:rPr>
              <w:t>Validated methods and calibration.</w:t>
            </w:r>
          </w:p>
        </w:tc>
      </w:tr>
    </w:tbl>
    <w:p/>
    <w:p>
      <w:r>
        <w:br w:type="page"/>
      </w:r>
    </w:p>
    <w:p>
      <w:pPr>
        <w:spacing w:after="60"/>
      </w:pPr>
      <w:r>
        <w:rPr>
          <w:rFonts w:ascii="Aptos" w:hAnsi="Aptos"/>
          <w:b/>
          <w:i w:val="0"/>
          <w:color w:val="C5A253"/>
          <w:sz w:val="17"/>
        </w:rPr>
        <w:t>COMPLIANCE</w:t>
      </w:r>
    </w:p>
    <w:p>
      <w:pPr>
        <w:spacing w:after="200"/>
      </w:pPr>
      <w:r>
        <w:rPr>
          <w:rFonts w:ascii="Aptos" w:hAnsi="Aptos"/>
          <w:b/>
          <w:i w:val="0"/>
          <w:color w:val="0B1F3A"/>
          <w:sz w:val="40"/>
        </w:rPr>
        <w:t>Quality, Food Safety, and Certification</w:t>
      </w:r>
    </w:p>
    <w:p>
      <w:pPr>
        <w:spacing w:after="120" w:line="271" w:lineRule="auto"/>
        <w:jc w:val="both"/>
      </w:pPr>
      <w:r>
        <w:rPr>
          <w:rFonts w:ascii="Aptos" w:hAnsi="Aptos"/>
          <w:b w:val="0"/>
          <w:i w:val="0"/>
          <w:color w:val="1E252B"/>
          <w:sz w:val="20"/>
        </w:rPr>
        <w:t>The human-food line must comply with the Argentine Food Code and applicable establishment and product registrations, supported by GMP, HACCP, and a management system aligned with ISO 22000 or FSSC 22000. Animal-feed establishments and products require SENASA registration, technical direction, and inspection procedures.</w:t>
      </w:r>
    </w:p>
    <w:tbl>
      <w:tblPr>
        <w:tblW w:type="auto" w:w="0"/>
        <w:jc w:val="center"/>
        <w:tblLayout w:type="fixed"/>
        <w:tblLook w:firstColumn="1" w:firstRow="1" w:lastColumn="0" w:lastRow="0" w:noHBand="0" w:noVBand="1" w:val="04A0"/>
      </w:tblPr>
      <w:tblGrid>
        <w:gridCol w:w="3156"/>
        <w:gridCol w:w="3156"/>
        <w:gridCol w:w="3156"/>
      </w:tblGrid>
      <w:tr>
        <w:tc>
          <w:tcPr>
            <w:tcW w:type="dxa" w:w="2268"/>
            <w:shd w:fill="0B1F3A"/>
          </w:tcPr>
          <w:p>
            <w:pPr>
              <w:spacing w:after="0"/>
            </w:pPr>
            <w:r/>
            <w:r>
              <w:rPr>
                <w:rFonts w:ascii="Aptos" w:hAnsi="Aptos"/>
                <w:b/>
                <w:i w:val="0"/>
                <w:color w:val="FFFFFF"/>
                <w:sz w:val="16"/>
              </w:rPr>
              <w:t>Program</w:t>
            </w:r>
          </w:p>
        </w:tc>
        <w:tc>
          <w:tcPr>
            <w:tcW w:type="dxa" w:w="4535"/>
            <w:shd w:fill="0B1F3A"/>
          </w:tcPr>
          <w:p>
            <w:pPr>
              <w:spacing w:after="0"/>
            </w:pPr>
            <w:r/>
            <w:r>
              <w:rPr>
                <w:rFonts w:ascii="Aptos" w:hAnsi="Aptos"/>
                <w:b/>
                <w:i w:val="0"/>
                <w:color w:val="FFFFFF"/>
                <w:sz w:val="16"/>
              </w:rPr>
              <w:t>Minimum content</w:t>
            </w:r>
          </w:p>
        </w:tc>
        <w:tc>
          <w:tcPr>
            <w:tcW w:type="dxa" w:w="2608"/>
            <w:shd w:fill="0B1F3A"/>
          </w:tcPr>
          <w:p>
            <w:pPr>
              <w:spacing w:after="0"/>
            </w:pPr>
            <w:r/>
            <w:r>
              <w:rPr>
                <w:rFonts w:ascii="Aptos" w:hAnsi="Aptos"/>
                <w:b/>
                <w:i w:val="0"/>
                <w:color w:val="FFFFFF"/>
                <w:sz w:val="16"/>
              </w:rPr>
              <w:t>Timing</w:t>
            </w:r>
          </w:p>
        </w:tc>
      </w:tr>
      <w:tr>
        <w:tc>
          <w:tcPr>
            <w:tcW w:type="dxa" w:w="2268"/>
            <w:shd w:fill="FFFFFF"/>
          </w:tcPr>
          <w:p>
            <w:pPr>
              <w:spacing w:after="0"/>
            </w:pPr>
            <w:r/>
            <w:r>
              <w:rPr>
                <w:rFonts w:ascii="Aptos" w:hAnsi="Aptos"/>
                <w:b w:val="0"/>
                <w:i w:val="0"/>
                <w:color w:val="1E252B"/>
                <w:sz w:val="16"/>
              </w:rPr>
              <w:t>PRPs/GMP</w:t>
            </w:r>
          </w:p>
        </w:tc>
        <w:tc>
          <w:tcPr>
            <w:tcW w:type="dxa" w:w="4535"/>
            <w:shd w:fill="FFFFFF"/>
          </w:tcPr>
          <w:p>
            <w:pPr>
              <w:spacing w:after="0"/>
            </w:pPr>
            <w:r/>
            <w:r>
              <w:rPr>
                <w:rFonts w:ascii="Aptos" w:hAnsi="Aptos"/>
                <w:b w:val="0"/>
                <w:i w:val="0"/>
                <w:color w:val="1E252B"/>
                <w:sz w:val="16"/>
              </w:rPr>
              <w:t>Buildings, cleaning, pests, water, suppliers, maintenance.</w:t>
            </w:r>
          </w:p>
        </w:tc>
        <w:tc>
          <w:tcPr>
            <w:tcW w:type="dxa" w:w="2608"/>
            <w:shd w:fill="FFFFFF"/>
          </w:tcPr>
          <w:p>
            <w:pPr>
              <w:spacing w:after="0"/>
            </w:pPr>
            <w:r/>
            <w:r>
              <w:rPr>
                <w:rFonts w:ascii="Aptos" w:hAnsi="Aptos"/>
                <w:b w:val="0"/>
                <w:i w:val="0"/>
                <w:color w:val="1E252B"/>
                <w:sz w:val="16"/>
              </w:rPr>
              <w:t>Before commissioning.</w:t>
            </w:r>
          </w:p>
        </w:tc>
      </w:tr>
      <w:tr>
        <w:tc>
          <w:tcPr>
            <w:tcW w:type="dxa" w:w="2268"/>
            <w:shd w:fill="F3F6F8"/>
          </w:tcPr>
          <w:p>
            <w:pPr>
              <w:spacing w:after="0"/>
            </w:pPr>
            <w:r/>
            <w:r>
              <w:rPr>
                <w:rFonts w:ascii="Aptos" w:hAnsi="Aptos"/>
                <w:b w:val="0"/>
                <w:i w:val="0"/>
                <w:color w:val="1E252B"/>
                <w:sz w:val="16"/>
              </w:rPr>
              <w:t>HACCP</w:t>
            </w:r>
          </w:p>
        </w:tc>
        <w:tc>
          <w:tcPr>
            <w:tcW w:type="dxa" w:w="4535"/>
            <w:shd w:fill="F3F6F8"/>
          </w:tcPr>
          <w:p>
            <w:pPr>
              <w:spacing w:after="0"/>
            </w:pPr>
            <w:r/>
            <w:r>
              <w:rPr>
                <w:rFonts w:ascii="Aptos" w:hAnsi="Aptos"/>
                <w:b w:val="0"/>
                <w:i w:val="0"/>
                <w:color w:val="1E252B"/>
                <w:sz w:val="16"/>
              </w:rPr>
              <w:t>Hazards, CCP/OPRP, limits, monitoring, validation.</w:t>
            </w:r>
          </w:p>
        </w:tc>
        <w:tc>
          <w:tcPr>
            <w:tcW w:type="dxa" w:w="2608"/>
            <w:shd w:fill="F3F6F8"/>
          </w:tcPr>
          <w:p>
            <w:pPr>
              <w:spacing w:after="0"/>
            </w:pPr>
            <w:r/>
            <w:r>
              <w:rPr>
                <w:rFonts w:ascii="Aptos" w:hAnsi="Aptos"/>
                <w:b w:val="0"/>
                <w:i w:val="0"/>
                <w:color w:val="1E252B"/>
                <w:sz w:val="16"/>
              </w:rPr>
              <w:t>During basic engineering.</w:t>
            </w:r>
          </w:p>
        </w:tc>
      </w:tr>
      <w:tr>
        <w:tc>
          <w:tcPr>
            <w:tcW w:type="dxa" w:w="2268"/>
            <w:shd w:fill="FFFFFF"/>
          </w:tcPr>
          <w:p>
            <w:pPr>
              <w:spacing w:after="0"/>
            </w:pPr>
            <w:r/>
            <w:r>
              <w:rPr>
                <w:rFonts w:ascii="Aptos" w:hAnsi="Aptos"/>
                <w:b w:val="0"/>
                <w:i w:val="0"/>
                <w:color w:val="1E252B"/>
                <w:sz w:val="16"/>
              </w:rPr>
              <w:t>Allergens</w:t>
            </w:r>
          </w:p>
        </w:tc>
        <w:tc>
          <w:tcPr>
            <w:tcW w:type="dxa" w:w="4535"/>
            <w:shd w:fill="FFFFFF"/>
          </w:tcPr>
          <w:p>
            <w:pPr>
              <w:spacing w:after="0"/>
            </w:pPr>
            <w:r/>
            <w:r>
              <w:rPr>
                <w:rFonts w:ascii="Aptos" w:hAnsi="Aptos"/>
                <w:b w:val="0"/>
                <w:i w:val="0"/>
                <w:color w:val="1E252B"/>
                <w:sz w:val="16"/>
              </w:rPr>
              <w:t>Soy, milk, wheat, and campaign/changeover control.</w:t>
            </w:r>
          </w:p>
        </w:tc>
        <w:tc>
          <w:tcPr>
            <w:tcW w:type="dxa" w:w="2608"/>
            <w:shd w:fill="FFFFFF"/>
          </w:tcPr>
          <w:p>
            <w:pPr>
              <w:spacing w:after="0"/>
            </w:pPr>
            <w:r/>
            <w:r>
              <w:rPr>
                <w:rFonts w:ascii="Aptos" w:hAnsi="Aptos"/>
                <w:b w:val="0"/>
                <w:i w:val="0"/>
                <w:color w:val="1E252B"/>
                <w:sz w:val="16"/>
              </w:rPr>
              <w:t>Layout and production sequencing.</w:t>
            </w:r>
          </w:p>
        </w:tc>
      </w:tr>
      <w:tr>
        <w:tc>
          <w:tcPr>
            <w:tcW w:type="dxa" w:w="2268"/>
            <w:shd w:fill="F3F6F8"/>
          </w:tcPr>
          <w:p>
            <w:pPr>
              <w:spacing w:after="0"/>
            </w:pPr>
            <w:r/>
            <w:r>
              <w:rPr>
                <w:rFonts w:ascii="Aptos" w:hAnsi="Aptos"/>
                <w:b w:val="0"/>
                <w:i w:val="0"/>
                <w:color w:val="1E252B"/>
                <w:sz w:val="16"/>
              </w:rPr>
              <w:t>Traceability</w:t>
            </w:r>
          </w:p>
        </w:tc>
        <w:tc>
          <w:tcPr>
            <w:tcW w:type="dxa" w:w="4535"/>
            <w:shd w:fill="F3F6F8"/>
          </w:tcPr>
          <w:p>
            <w:pPr>
              <w:spacing w:after="0"/>
            </w:pPr>
            <w:r/>
            <w:r>
              <w:rPr>
                <w:rFonts w:ascii="Aptos" w:hAnsi="Aptos"/>
                <w:b w:val="0"/>
                <w:i w:val="0"/>
                <w:color w:val="1E252B"/>
                <w:sz w:val="16"/>
              </w:rPr>
              <w:t>One step back/forward and mock recall.</w:t>
            </w:r>
          </w:p>
        </w:tc>
        <w:tc>
          <w:tcPr>
            <w:tcW w:type="dxa" w:w="2608"/>
            <w:shd w:fill="F3F6F8"/>
          </w:tcPr>
          <w:p>
            <w:pPr>
              <w:spacing w:after="0"/>
            </w:pPr>
            <w:r/>
            <w:r>
              <w:rPr>
                <w:rFonts w:ascii="Aptos" w:hAnsi="Aptos"/>
                <w:b w:val="0"/>
                <w:i w:val="0"/>
                <w:color w:val="1E252B"/>
                <w:sz w:val="16"/>
              </w:rPr>
              <w:t>ERP/MES from phase 1.</w:t>
            </w:r>
          </w:p>
        </w:tc>
      </w:tr>
      <w:tr>
        <w:tc>
          <w:tcPr>
            <w:tcW w:type="dxa" w:w="2268"/>
            <w:shd w:fill="FFFFFF"/>
          </w:tcPr>
          <w:p>
            <w:pPr>
              <w:spacing w:after="0"/>
            </w:pPr>
            <w:r/>
            <w:r>
              <w:rPr>
                <w:rFonts w:ascii="Aptos" w:hAnsi="Aptos"/>
                <w:b w:val="0"/>
                <w:i w:val="0"/>
                <w:color w:val="1E252B"/>
                <w:sz w:val="16"/>
              </w:rPr>
              <w:t>Food defense/fraud</w:t>
            </w:r>
          </w:p>
        </w:tc>
        <w:tc>
          <w:tcPr>
            <w:tcW w:type="dxa" w:w="4535"/>
            <w:shd w:fill="FFFFFF"/>
          </w:tcPr>
          <w:p>
            <w:pPr>
              <w:spacing w:after="0"/>
            </w:pPr>
            <w:r/>
            <w:r>
              <w:rPr>
                <w:rFonts w:ascii="Aptos" w:hAnsi="Aptos"/>
                <w:b w:val="0"/>
                <w:i w:val="0"/>
                <w:color w:val="1E252B"/>
                <w:sz w:val="16"/>
              </w:rPr>
              <w:t>Access, authenticity, vulnerability.</w:t>
            </w:r>
          </w:p>
        </w:tc>
        <w:tc>
          <w:tcPr>
            <w:tcW w:type="dxa" w:w="2608"/>
            <w:shd w:fill="FFFFFF"/>
          </w:tcPr>
          <w:p>
            <w:pPr>
              <w:spacing w:after="0"/>
            </w:pPr>
            <w:r/>
            <w:r>
              <w:rPr>
                <w:rFonts w:ascii="Aptos" w:hAnsi="Aptos"/>
                <w:b w:val="0"/>
                <w:i w:val="0"/>
                <w:color w:val="1E252B"/>
                <w:sz w:val="16"/>
              </w:rPr>
              <w:t>Before export.</w:t>
            </w:r>
          </w:p>
        </w:tc>
      </w:tr>
      <w:tr>
        <w:tc>
          <w:tcPr>
            <w:tcW w:type="dxa" w:w="2268"/>
            <w:shd w:fill="F3F6F8"/>
          </w:tcPr>
          <w:p>
            <w:pPr>
              <w:spacing w:after="0"/>
            </w:pPr>
            <w:r/>
            <w:r>
              <w:rPr>
                <w:rFonts w:ascii="Aptos" w:hAnsi="Aptos"/>
                <w:b w:val="0"/>
                <w:i w:val="0"/>
                <w:color w:val="1E252B"/>
                <w:sz w:val="16"/>
              </w:rPr>
              <w:t>Certification</w:t>
            </w:r>
          </w:p>
        </w:tc>
        <w:tc>
          <w:tcPr>
            <w:tcW w:type="dxa" w:w="4535"/>
            <w:shd w:fill="F3F6F8"/>
          </w:tcPr>
          <w:p>
            <w:pPr>
              <w:spacing w:after="0"/>
            </w:pPr>
            <w:r/>
            <w:r>
              <w:rPr>
                <w:rFonts w:ascii="Aptos" w:hAnsi="Aptos"/>
                <w:b w:val="0"/>
                <w:i w:val="0"/>
                <w:color w:val="1E252B"/>
                <w:sz w:val="16"/>
              </w:rPr>
              <w:t>FSSC 22000/BRCGS; GMP+ where market requires.</w:t>
            </w:r>
          </w:p>
        </w:tc>
        <w:tc>
          <w:tcPr>
            <w:tcW w:type="dxa" w:w="2608"/>
            <w:shd w:fill="F3F6F8"/>
          </w:tcPr>
          <w:p>
            <w:pPr>
              <w:spacing w:after="0"/>
            </w:pPr>
            <w:r/>
            <w:r>
              <w:rPr>
                <w:rFonts w:ascii="Aptos" w:hAnsi="Aptos"/>
                <w:b w:val="0"/>
                <w:i w:val="0"/>
                <w:color w:val="1E252B"/>
                <w:sz w:val="16"/>
              </w:rPr>
              <w:t>Customer-driven.</w:t>
            </w:r>
          </w:p>
        </w:tc>
      </w:tr>
    </w:tbl>
    <w:p/>
    <w:p>
      <w:r>
        <w:br w:type="page"/>
      </w:r>
    </w:p>
    <w:p>
      <w:pPr>
        <w:spacing w:after="60"/>
      </w:pPr>
      <w:r>
        <w:rPr>
          <w:rFonts w:ascii="Aptos" w:hAnsi="Aptos"/>
          <w:b/>
          <w:i w:val="0"/>
          <w:color w:val="C5A253"/>
          <w:sz w:val="17"/>
        </w:rPr>
        <w:t>LICENSE TO OPERATE</w:t>
      </w:r>
    </w:p>
    <w:p>
      <w:pPr>
        <w:spacing w:after="200"/>
      </w:pPr>
      <w:r>
        <w:rPr>
          <w:rFonts w:ascii="Aptos" w:hAnsi="Aptos"/>
          <w:b/>
          <w:i w:val="0"/>
          <w:color w:val="0B1F3A"/>
          <w:sz w:val="40"/>
        </w:rPr>
        <w:t>Environment, Safety, and Sustainability</w:t>
      </w:r>
    </w:p>
    <w:p>
      <w:pPr>
        <w:spacing w:after="120" w:line="271" w:lineRule="auto"/>
        <w:jc w:val="both"/>
      </w:pPr>
      <w:r>
        <w:rPr>
          <w:rFonts w:ascii="Aptos" w:hAnsi="Aptos"/>
          <w:b w:val="0"/>
          <w:i w:val="0"/>
          <w:color w:val="1E252B"/>
          <w:sz w:val="20"/>
        </w:rPr>
        <w:t>Argentina’s General Environmental Law requires prior assessment when a project may significantly affect the environment. The selected province and municipality will determine categorization, impact study, participation, emissions, effluent, waste, fire approval, and industrial permitting requirements.</w:t>
      </w:r>
    </w:p>
    <w:tbl>
      <w:tblPr>
        <w:tblW w:type="auto" w:w="0"/>
        <w:jc w:val="center"/>
        <w:tblLayout w:type="fixed"/>
        <w:tblLook w:firstColumn="1" w:firstRow="1" w:lastColumn="0" w:lastRow="0" w:noHBand="0" w:noVBand="1" w:val="04A0"/>
      </w:tblPr>
      <w:tblGrid>
        <w:gridCol w:w="3156"/>
        <w:gridCol w:w="3156"/>
        <w:gridCol w:w="3156"/>
      </w:tblGrid>
      <w:tr>
        <w:tc>
          <w:tcPr>
            <w:tcW w:type="dxa" w:w="1984"/>
            <w:shd w:fill="0B1F3A"/>
          </w:tcPr>
          <w:p>
            <w:pPr>
              <w:spacing w:after="0"/>
            </w:pPr>
            <w:r/>
            <w:r>
              <w:rPr>
                <w:rFonts w:ascii="Aptos" w:hAnsi="Aptos"/>
                <w:b/>
                <w:i w:val="0"/>
                <w:color w:val="FFFFFF"/>
                <w:sz w:val="16"/>
              </w:rPr>
              <w:t>Aspect</w:t>
            </w:r>
          </w:p>
        </w:tc>
        <w:tc>
          <w:tcPr>
            <w:tcW w:type="dxa" w:w="3288"/>
            <w:shd w:fill="0B1F3A"/>
          </w:tcPr>
          <w:p>
            <w:pPr>
              <w:spacing w:after="0"/>
            </w:pPr>
            <w:r/>
            <w:r>
              <w:rPr>
                <w:rFonts w:ascii="Aptos" w:hAnsi="Aptos"/>
                <w:b/>
                <w:i w:val="0"/>
                <w:color w:val="FFFFFF"/>
                <w:sz w:val="16"/>
              </w:rPr>
              <w:t>Risk</w:t>
            </w:r>
          </w:p>
        </w:tc>
        <w:tc>
          <w:tcPr>
            <w:tcW w:type="dxa" w:w="4535"/>
            <w:shd w:fill="0B1F3A"/>
          </w:tcPr>
          <w:p>
            <w:pPr>
              <w:spacing w:after="0"/>
            </w:pPr>
            <w:r/>
            <w:r>
              <w:rPr>
                <w:rFonts w:ascii="Aptos" w:hAnsi="Aptos"/>
                <w:b/>
                <w:i w:val="0"/>
                <w:color w:val="FFFFFF"/>
                <w:sz w:val="16"/>
              </w:rPr>
              <w:t>Design response</w:t>
            </w:r>
          </w:p>
        </w:tc>
      </w:tr>
      <w:tr>
        <w:tc>
          <w:tcPr>
            <w:tcW w:type="dxa" w:w="1984"/>
            <w:shd w:fill="FFFFFF"/>
          </w:tcPr>
          <w:p>
            <w:pPr>
              <w:spacing w:after="0"/>
            </w:pPr>
            <w:r/>
            <w:r>
              <w:rPr>
                <w:rFonts w:ascii="Aptos" w:hAnsi="Aptos"/>
                <w:b w:val="0"/>
                <w:i w:val="0"/>
                <w:color w:val="1E252B"/>
                <w:sz w:val="16"/>
              </w:rPr>
              <w:t>Grain dust</w:t>
            </w:r>
          </w:p>
        </w:tc>
        <w:tc>
          <w:tcPr>
            <w:tcW w:type="dxa" w:w="3288"/>
            <w:shd w:fill="FFFFFF"/>
          </w:tcPr>
          <w:p>
            <w:pPr>
              <w:spacing w:after="0"/>
            </w:pPr>
            <w:r/>
            <w:r>
              <w:rPr>
                <w:rFonts w:ascii="Aptos" w:hAnsi="Aptos"/>
                <w:b w:val="0"/>
                <w:i w:val="0"/>
                <w:color w:val="1E252B"/>
                <w:sz w:val="16"/>
              </w:rPr>
              <w:t>Explosion, fire, and exposure.</w:t>
            </w:r>
          </w:p>
        </w:tc>
        <w:tc>
          <w:tcPr>
            <w:tcW w:type="dxa" w:w="4535"/>
            <w:shd w:fill="FFFFFF"/>
          </w:tcPr>
          <w:p>
            <w:pPr>
              <w:spacing w:after="0"/>
            </w:pPr>
            <w:r/>
            <w:r>
              <w:rPr>
                <w:rFonts w:ascii="Aptos" w:hAnsi="Aptos"/>
                <w:b w:val="0"/>
                <w:i w:val="0"/>
                <w:color w:val="1E252B"/>
                <w:sz w:val="16"/>
              </w:rPr>
              <w:t>Dust collection, grounding, isolation/venting, DHA.</w:t>
            </w:r>
          </w:p>
        </w:tc>
      </w:tr>
      <w:tr>
        <w:tc>
          <w:tcPr>
            <w:tcW w:type="dxa" w:w="1984"/>
            <w:shd w:fill="F3F6F8"/>
          </w:tcPr>
          <w:p>
            <w:pPr>
              <w:spacing w:after="0"/>
            </w:pPr>
            <w:r/>
            <w:r>
              <w:rPr>
                <w:rFonts w:ascii="Aptos" w:hAnsi="Aptos"/>
                <w:b w:val="0"/>
                <w:i w:val="0"/>
                <w:color w:val="1E252B"/>
                <w:sz w:val="16"/>
              </w:rPr>
              <w:t>Noise</w:t>
            </w:r>
          </w:p>
        </w:tc>
        <w:tc>
          <w:tcPr>
            <w:tcW w:type="dxa" w:w="3288"/>
            <w:shd w:fill="F3F6F8"/>
          </w:tcPr>
          <w:p>
            <w:pPr>
              <w:spacing w:after="0"/>
            </w:pPr>
            <w:r/>
            <w:r>
              <w:rPr>
                <w:rFonts w:ascii="Aptos" w:hAnsi="Aptos"/>
                <w:b w:val="0"/>
                <w:i w:val="0"/>
                <w:color w:val="1E252B"/>
                <w:sz w:val="16"/>
              </w:rPr>
              <w:t>Mills, fans, compressors.</w:t>
            </w:r>
          </w:p>
        </w:tc>
        <w:tc>
          <w:tcPr>
            <w:tcW w:type="dxa" w:w="4535"/>
            <w:shd w:fill="F3F6F8"/>
          </w:tcPr>
          <w:p>
            <w:pPr>
              <w:spacing w:after="0"/>
            </w:pPr>
            <w:r/>
            <w:r>
              <w:rPr>
                <w:rFonts w:ascii="Aptos" w:hAnsi="Aptos"/>
                <w:b w:val="0"/>
                <w:i w:val="0"/>
                <w:color w:val="1E252B"/>
                <w:sz w:val="16"/>
              </w:rPr>
              <w:t>Enclosures, silencers, dosimetry.</w:t>
            </w:r>
          </w:p>
        </w:tc>
      </w:tr>
      <w:tr>
        <w:tc>
          <w:tcPr>
            <w:tcW w:type="dxa" w:w="1984"/>
            <w:shd w:fill="FFFFFF"/>
          </w:tcPr>
          <w:p>
            <w:pPr>
              <w:spacing w:after="0"/>
            </w:pPr>
            <w:r/>
            <w:r>
              <w:rPr>
                <w:rFonts w:ascii="Aptos" w:hAnsi="Aptos"/>
                <w:b w:val="0"/>
                <w:i w:val="0"/>
                <w:color w:val="1E252B"/>
                <w:sz w:val="16"/>
              </w:rPr>
              <w:t>Thermal energy</w:t>
            </w:r>
          </w:p>
        </w:tc>
        <w:tc>
          <w:tcPr>
            <w:tcW w:type="dxa" w:w="3288"/>
            <w:shd w:fill="FFFFFF"/>
          </w:tcPr>
          <w:p>
            <w:pPr>
              <w:spacing w:after="0"/>
            </w:pPr>
            <w:r/>
            <w:r>
              <w:rPr>
                <w:rFonts w:ascii="Aptos" w:hAnsi="Aptos"/>
                <w:b w:val="0"/>
                <w:i w:val="0"/>
                <w:color w:val="1E252B"/>
                <w:sz w:val="16"/>
              </w:rPr>
              <w:t>Emissions and cost.</w:t>
            </w:r>
          </w:p>
        </w:tc>
        <w:tc>
          <w:tcPr>
            <w:tcW w:type="dxa" w:w="4535"/>
            <w:shd w:fill="FFFFFF"/>
          </w:tcPr>
          <w:p>
            <w:pPr>
              <w:spacing w:after="0"/>
            </w:pPr>
            <w:r/>
            <w:r>
              <w:rPr>
                <w:rFonts w:ascii="Aptos" w:hAnsi="Aptos"/>
                <w:b w:val="0"/>
                <w:i w:val="0"/>
                <w:color w:val="1E252B"/>
                <w:sz w:val="16"/>
              </w:rPr>
              <w:t>Efficient burners, economizer, heat recovery.</w:t>
            </w:r>
          </w:p>
        </w:tc>
      </w:tr>
      <w:tr>
        <w:tc>
          <w:tcPr>
            <w:tcW w:type="dxa" w:w="1984"/>
            <w:shd w:fill="F3F6F8"/>
          </w:tcPr>
          <w:p>
            <w:pPr>
              <w:spacing w:after="0"/>
            </w:pPr>
            <w:r/>
            <w:r>
              <w:rPr>
                <w:rFonts w:ascii="Aptos" w:hAnsi="Aptos"/>
                <w:b w:val="0"/>
                <w:i w:val="0"/>
                <w:color w:val="1E252B"/>
                <w:sz w:val="16"/>
              </w:rPr>
              <w:t>Water/effluent</w:t>
            </w:r>
          </w:p>
        </w:tc>
        <w:tc>
          <w:tcPr>
            <w:tcW w:type="dxa" w:w="3288"/>
            <w:shd w:fill="F3F6F8"/>
          </w:tcPr>
          <w:p>
            <w:pPr>
              <w:spacing w:after="0"/>
            </w:pPr>
            <w:r/>
            <w:r>
              <w:rPr>
                <w:rFonts w:ascii="Aptos" w:hAnsi="Aptos"/>
                <w:b w:val="0"/>
                <w:i w:val="0"/>
                <w:color w:val="1E252B"/>
                <w:sz w:val="16"/>
              </w:rPr>
              <w:t>Cleaning and utilities.</w:t>
            </w:r>
          </w:p>
        </w:tc>
        <w:tc>
          <w:tcPr>
            <w:tcW w:type="dxa" w:w="4535"/>
            <w:shd w:fill="F3F6F8"/>
          </w:tcPr>
          <w:p>
            <w:pPr>
              <w:spacing w:after="0"/>
            </w:pPr>
            <w:r/>
            <w:r>
              <w:rPr>
                <w:rFonts w:ascii="Aptos" w:hAnsi="Aptos"/>
                <w:b w:val="0"/>
                <w:i w:val="0"/>
                <w:color w:val="1E252B"/>
                <w:sz w:val="16"/>
              </w:rPr>
              <w:t>Dry cleaning first; segregation and treatment.</w:t>
            </w:r>
          </w:p>
        </w:tc>
      </w:tr>
      <w:tr>
        <w:tc>
          <w:tcPr>
            <w:tcW w:type="dxa" w:w="1984"/>
            <w:shd w:fill="FFFFFF"/>
          </w:tcPr>
          <w:p>
            <w:pPr>
              <w:spacing w:after="0"/>
            </w:pPr>
            <w:r/>
            <w:r>
              <w:rPr>
                <w:rFonts w:ascii="Aptos" w:hAnsi="Aptos"/>
                <w:b w:val="0"/>
                <w:i w:val="0"/>
                <w:color w:val="1E252B"/>
                <w:sz w:val="16"/>
              </w:rPr>
              <w:t>Waste</w:t>
            </w:r>
          </w:p>
        </w:tc>
        <w:tc>
          <w:tcPr>
            <w:tcW w:type="dxa" w:w="3288"/>
            <w:shd w:fill="FFFFFF"/>
          </w:tcPr>
          <w:p>
            <w:pPr>
              <w:spacing w:after="0"/>
            </w:pPr>
            <w:r/>
            <w:r>
              <w:rPr>
                <w:rFonts w:ascii="Aptos" w:hAnsi="Aptos"/>
                <w:b w:val="0"/>
                <w:i w:val="0"/>
                <w:color w:val="1E252B"/>
                <w:sz w:val="16"/>
              </w:rPr>
              <w:t>Sweepings, rejected product, packaging.</w:t>
            </w:r>
          </w:p>
        </w:tc>
        <w:tc>
          <w:tcPr>
            <w:tcW w:type="dxa" w:w="4535"/>
            <w:shd w:fill="FFFFFF"/>
          </w:tcPr>
          <w:p>
            <w:pPr>
              <w:spacing w:after="0"/>
            </w:pPr>
            <w:r/>
            <w:r>
              <w:rPr>
                <w:rFonts w:ascii="Aptos" w:hAnsi="Aptos"/>
                <w:b w:val="0"/>
                <w:i w:val="0"/>
                <w:color w:val="1E252B"/>
                <w:sz w:val="16"/>
              </w:rPr>
              <w:t>Safe recovery and disposal traceability.</w:t>
            </w:r>
          </w:p>
        </w:tc>
      </w:tr>
      <w:tr>
        <w:tc>
          <w:tcPr>
            <w:tcW w:type="dxa" w:w="1984"/>
            <w:shd w:fill="F3F6F8"/>
          </w:tcPr>
          <w:p>
            <w:pPr>
              <w:spacing w:after="0"/>
            </w:pPr>
            <w:r/>
            <w:r>
              <w:rPr>
                <w:rFonts w:ascii="Aptos" w:hAnsi="Aptos"/>
                <w:b w:val="0"/>
                <w:i w:val="0"/>
                <w:color w:val="1E252B"/>
                <w:sz w:val="16"/>
              </w:rPr>
              <w:t>Machine safety</w:t>
            </w:r>
          </w:p>
        </w:tc>
        <w:tc>
          <w:tcPr>
            <w:tcW w:type="dxa" w:w="3288"/>
            <w:shd w:fill="F3F6F8"/>
          </w:tcPr>
          <w:p>
            <w:pPr>
              <w:spacing w:after="0"/>
            </w:pPr>
            <w:r/>
            <w:r>
              <w:rPr>
                <w:rFonts w:ascii="Aptos" w:hAnsi="Aptos"/>
                <w:b w:val="0"/>
                <w:i w:val="0"/>
                <w:color w:val="1E252B"/>
                <w:sz w:val="16"/>
              </w:rPr>
              <w:t>Entanglement and maintenance.</w:t>
            </w:r>
          </w:p>
        </w:tc>
        <w:tc>
          <w:tcPr>
            <w:tcW w:type="dxa" w:w="4535"/>
            <w:shd w:fill="F3F6F8"/>
          </w:tcPr>
          <w:p>
            <w:pPr>
              <w:spacing w:after="0"/>
            </w:pPr>
            <w:r/>
            <w:r>
              <w:rPr>
                <w:rFonts w:ascii="Aptos" w:hAnsi="Aptos"/>
                <w:b w:val="0"/>
                <w:i w:val="0"/>
                <w:color w:val="1E252B"/>
                <w:sz w:val="16"/>
              </w:rPr>
              <w:t>Guards, interlocks, LOTO, hygienic access.</w:t>
            </w:r>
          </w:p>
        </w:tc>
      </w:tr>
    </w:tbl>
    <w:p/>
    <w:p>
      <w:r>
        <w:br w:type="page"/>
      </w:r>
    </w:p>
    <w:p>
      <w:pPr>
        <w:spacing w:after="60"/>
      </w:pPr>
      <w:r>
        <w:rPr>
          <w:rFonts w:ascii="Aptos" w:hAnsi="Aptos"/>
          <w:b/>
          <w:i w:val="0"/>
          <w:color w:val="C5A253"/>
          <w:sz w:val="17"/>
        </w:rPr>
        <w:t>OPERATING MODEL</w:t>
      </w:r>
    </w:p>
    <w:p>
      <w:pPr>
        <w:spacing w:after="200"/>
      </w:pPr>
      <w:r>
        <w:rPr>
          <w:rFonts w:ascii="Aptos" w:hAnsi="Aptos"/>
          <w:b/>
          <w:i w:val="0"/>
          <w:color w:val="0B1F3A"/>
          <w:sz w:val="40"/>
        </w:rPr>
        <w:t>Organization and Staffing</w:t>
      </w:r>
    </w:p>
    <w:tbl>
      <w:tblPr>
        <w:tblW w:type="auto" w:w="0"/>
        <w:jc w:val="center"/>
        <w:tblLayout w:type="fixed"/>
        <w:tblLook w:firstColumn="1" w:firstRow="1" w:lastColumn="0" w:lastRow="0" w:noHBand="0" w:noVBand="1" w:val="04A0"/>
      </w:tblPr>
      <w:tblGrid>
        <w:gridCol w:w="2367"/>
        <w:gridCol w:w="2367"/>
        <w:gridCol w:w="2367"/>
        <w:gridCol w:w="2367"/>
      </w:tblGrid>
      <w:tr>
        <w:tc>
          <w:tcPr>
            <w:tcW w:type="dxa" w:w="2381"/>
            <w:shd w:fill="0B1F3A"/>
          </w:tcPr>
          <w:p>
            <w:pPr>
              <w:spacing w:after="0"/>
            </w:pPr>
            <w:r/>
            <w:r>
              <w:rPr>
                <w:rFonts w:ascii="Aptos" w:hAnsi="Aptos"/>
                <w:b/>
                <w:i w:val="0"/>
                <w:color w:val="FFFFFF"/>
                <w:sz w:val="16"/>
              </w:rPr>
              <w:t>Function</w:t>
            </w:r>
          </w:p>
        </w:tc>
        <w:tc>
          <w:tcPr>
            <w:tcW w:type="dxa" w:w="1417"/>
            <w:shd w:fill="0B1F3A"/>
          </w:tcPr>
          <w:p>
            <w:pPr>
              <w:spacing w:after="0"/>
            </w:pPr>
            <w:r/>
            <w:r>
              <w:rPr>
                <w:rFonts w:ascii="Aptos" w:hAnsi="Aptos"/>
                <w:b/>
                <w:i w:val="0"/>
                <w:color w:val="FFFFFF"/>
                <w:sz w:val="16"/>
              </w:rPr>
              <w:t>Phase 1</w:t>
            </w:r>
          </w:p>
        </w:tc>
        <w:tc>
          <w:tcPr>
            <w:tcW w:type="dxa" w:w="1417"/>
            <w:shd w:fill="0B1F3A"/>
          </w:tcPr>
          <w:p>
            <w:pPr>
              <w:spacing w:after="0"/>
            </w:pPr>
            <w:r/>
            <w:r>
              <w:rPr>
                <w:rFonts w:ascii="Aptos" w:hAnsi="Aptos"/>
                <w:b/>
                <w:i w:val="0"/>
                <w:color w:val="FFFFFF"/>
                <w:sz w:val="16"/>
              </w:rPr>
              <w:t>Phase 2</w:t>
            </w:r>
          </w:p>
        </w:tc>
        <w:tc>
          <w:tcPr>
            <w:tcW w:type="dxa" w:w="3969"/>
            <w:shd w:fill="0B1F3A"/>
          </w:tcPr>
          <w:p>
            <w:pPr>
              <w:spacing w:after="0"/>
            </w:pPr>
            <w:r/>
            <w:r>
              <w:rPr>
                <w:rFonts w:ascii="Aptos" w:hAnsi="Aptos"/>
                <w:b/>
                <w:i w:val="0"/>
                <w:color w:val="FFFFFF"/>
                <w:sz w:val="16"/>
              </w:rPr>
              <w:t>Comment</w:t>
            </w:r>
          </w:p>
        </w:tc>
      </w:tr>
      <w:tr>
        <w:tc>
          <w:tcPr>
            <w:tcW w:type="dxa" w:w="2381"/>
            <w:shd w:fill="FFFFFF"/>
          </w:tcPr>
          <w:p>
            <w:pPr>
              <w:spacing w:after="0"/>
            </w:pPr>
            <w:r/>
            <w:r>
              <w:rPr>
                <w:rFonts w:ascii="Aptos" w:hAnsi="Aptos"/>
                <w:b w:val="0"/>
                <w:i w:val="0"/>
                <w:color w:val="1E252B"/>
                <w:sz w:val="16"/>
              </w:rPr>
              <w:t>Production/packaging</w:t>
            </w:r>
          </w:p>
        </w:tc>
        <w:tc>
          <w:tcPr>
            <w:tcW w:type="dxa" w:w="1417"/>
            <w:shd w:fill="FFFFFF"/>
          </w:tcPr>
          <w:p>
            <w:pPr>
              <w:spacing w:after="0"/>
            </w:pPr>
            <w:r/>
            <w:r>
              <w:rPr>
                <w:rFonts w:ascii="Aptos" w:hAnsi="Aptos"/>
                <w:b w:val="0"/>
                <w:i w:val="0"/>
                <w:color w:val="1E252B"/>
                <w:sz w:val="16"/>
              </w:rPr>
              <w:t>55–75</w:t>
            </w:r>
          </w:p>
        </w:tc>
        <w:tc>
          <w:tcPr>
            <w:tcW w:type="dxa" w:w="1417"/>
            <w:shd w:fill="FFFFFF"/>
          </w:tcPr>
          <w:p>
            <w:pPr>
              <w:spacing w:after="0"/>
            </w:pPr>
            <w:r/>
            <w:r>
              <w:rPr>
                <w:rFonts w:ascii="Aptos" w:hAnsi="Aptos"/>
                <w:b w:val="0"/>
                <w:i w:val="0"/>
                <w:color w:val="1E252B"/>
                <w:sz w:val="16"/>
              </w:rPr>
              <w:t>105–135</w:t>
            </w:r>
          </w:p>
        </w:tc>
        <w:tc>
          <w:tcPr>
            <w:tcW w:type="dxa" w:w="3969"/>
            <w:shd w:fill="FFFFFF"/>
          </w:tcPr>
          <w:p>
            <w:pPr>
              <w:spacing w:after="0"/>
            </w:pPr>
            <w:r/>
            <w:r>
              <w:rPr>
                <w:rFonts w:ascii="Aptos" w:hAnsi="Aptos"/>
                <w:b w:val="0"/>
                <w:i w:val="0"/>
                <w:color w:val="1E252B"/>
                <w:sz w:val="16"/>
              </w:rPr>
              <w:t>Automation and shift pattern drive the range.</w:t>
            </w:r>
          </w:p>
        </w:tc>
      </w:tr>
      <w:tr>
        <w:tc>
          <w:tcPr>
            <w:tcW w:type="dxa" w:w="2381"/>
            <w:shd w:fill="F3F6F8"/>
          </w:tcPr>
          <w:p>
            <w:pPr>
              <w:spacing w:after="0"/>
            </w:pPr>
            <w:r/>
            <w:r>
              <w:rPr>
                <w:rFonts w:ascii="Aptos" w:hAnsi="Aptos"/>
                <w:b w:val="0"/>
                <w:i w:val="0"/>
                <w:color w:val="1E252B"/>
                <w:sz w:val="16"/>
              </w:rPr>
              <w:t>Quality/R&amp;D/regulatory</w:t>
            </w:r>
          </w:p>
        </w:tc>
        <w:tc>
          <w:tcPr>
            <w:tcW w:type="dxa" w:w="1417"/>
            <w:shd w:fill="F3F6F8"/>
          </w:tcPr>
          <w:p>
            <w:pPr>
              <w:spacing w:after="0"/>
            </w:pPr>
            <w:r/>
            <w:r>
              <w:rPr>
                <w:rFonts w:ascii="Aptos" w:hAnsi="Aptos"/>
                <w:b w:val="0"/>
                <w:i w:val="0"/>
                <w:color w:val="1E252B"/>
                <w:sz w:val="16"/>
              </w:rPr>
              <w:t>12–16</w:t>
            </w:r>
          </w:p>
        </w:tc>
        <w:tc>
          <w:tcPr>
            <w:tcW w:type="dxa" w:w="1417"/>
            <w:shd w:fill="F3F6F8"/>
          </w:tcPr>
          <w:p>
            <w:pPr>
              <w:spacing w:after="0"/>
            </w:pPr>
            <w:r/>
            <w:r>
              <w:rPr>
                <w:rFonts w:ascii="Aptos" w:hAnsi="Aptos"/>
                <w:b w:val="0"/>
                <w:i w:val="0"/>
                <w:color w:val="1E252B"/>
                <w:sz w:val="16"/>
              </w:rPr>
              <w:t>18–24</w:t>
            </w:r>
          </w:p>
        </w:tc>
        <w:tc>
          <w:tcPr>
            <w:tcW w:type="dxa" w:w="3969"/>
            <w:shd w:fill="F3F6F8"/>
          </w:tcPr>
          <w:p>
            <w:pPr>
              <w:spacing w:after="0"/>
            </w:pPr>
            <w:r/>
            <w:r>
              <w:rPr>
                <w:rFonts w:ascii="Aptos" w:hAnsi="Aptos"/>
                <w:b w:val="0"/>
                <w:i w:val="0"/>
                <w:color w:val="1E252B"/>
                <w:sz w:val="16"/>
              </w:rPr>
              <w:t>Human/animal segregation and applications.</w:t>
            </w:r>
          </w:p>
        </w:tc>
      </w:tr>
      <w:tr>
        <w:tc>
          <w:tcPr>
            <w:tcW w:type="dxa" w:w="2381"/>
            <w:shd w:fill="FFFFFF"/>
          </w:tcPr>
          <w:p>
            <w:pPr>
              <w:spacing w:after="0"/>
            </w:pPr>
            <w:r/>
            <w:r>
              <w:rPr>
                <w:rFonts w:ascii="Aptos" w:hAnsi="Aptos"/>
                <w:b w:val="0"/>
                <w:i w:val="0"/>
                <w:color w:val="1E252B"/>
                <w:sz w:val="16"/>
              </w:rPr>
              <w:t>Maintenance/utilities</w:t>
            </w:r>
          </w:p>
        </w:tc>
        <w:tc>
          <w:tcPr>
            <w:tcW w:type="dxa" w:w="1417"/>
            <w:shd w:fill="FFFFFF"/>
          </w:tcPr>
          <w:p>
            <w:pPr>
              <w:spacing w:after="0"/>
            </w:pPr>
            <w:r/>
            <w:r>
              <w:rPr>
                <w:rFonts w:ascii="Aptos" w:hAnsi="Aptos"/>
                <w:b w:val="0"/>
                <w:i w:val="0"/>
                <w:color w:val="1E252B"/>
                <w:sz w:val="16"/>
              </w:rPr>
              <w:t>12–16</w:t>
            </w:r>
          </w:p>
        </w:tc>
        <w:tc>
          <w:tcPr>
            <w:tcW w:type="dxa" w:w="1417"/>
            <w:shd w:fill="FFFFFF"/>
          </w:tcPr>
          <w:p>
            <w:pPr>
              <w:spacing w:after="0"/>
            </w:pPr>
            <w:r/>
            <w:r>
              <w:rPr>
                <w:rFonts w:ascii="Aptos" w:hAnsi="Aptos"/>
                <w:b w:val="0"/>
                <w:i w:val="0"/>
                <w:color w:val="1E252B"/>
                <w:sz w:val="16"/>
              </w:rPr>
              <w:t>20–28</w:t>
            </w:r>
          </w:p>
        </w:tc>
        <w:tc>
          <w:tcPr>
            <w:tcW w:type="dxa" w:w="3969"/>
            <w:shd w:fill="FFFFFF"/>
          </w:tcPr>
          <w:p>
            <w:pPr>
              <w:spacing w:after="0"/>
            </w:pPr>
            <w:r/>
            <w:r>
              <w:rPr>
                <w:rFonts w:ascii="Aptos" w:hAnsi="Aptos"/>
                <w:b w:val="0"/>
                <w:i w:val="0"/>
                <w:color w:val="1E252B"/>
                <w:sz w:val="16"/>
              </w:rPr>
              <w:t>Predictive, electrical, mechanical, automation.</w:t>
            </w:r>
          </w:p>
        </w:tc>
      </w:tr>
      <w:tr>
        <w:tc>
          <w:tcPr>
            <w:tcW w:type="dxa" w:w="2381"/>
            <w:shd w:fill="F3F6F8"/>
          </w:tcPr>
          <w:p>
            <w:pPr>
              <w:spacing w:after="0"/>
            </w:pPr>
            <w:r/>
            <w:r>
              <w:rPr>
                <w:rFonts w:ascii="Aptos" w:hAnsi="Aptos"/>
                <w:b w:val="0"/>
                <w:i w:val="0"/>
                <w:color w:val="1E252B"/>
                <w:sz w:val="16"/>
              </w:rPr>
              <w:t>Logistics/warehousing</w:t>
            </w:r>
          </w:p>
        </w:tc>
        <w:tc>
          <w:tcPr>
            <w:tcW w:type="dxa" w:w="1417"/>
            <w:shd w:fill="F3F6F8"/>
          </w:tcPr>
          <w:p>
            <w:pPr>
              <w:spacing w:after="0"/>
            </w:pPr>
            <w:r/>
            <w:r>
              <w:rPr>
                <w:rFonts w:ascii="Aptos" w:hAnsi="Aptos"/>
                <w:b w:val="0"/>
                <w:i w:val="0"/>
                <w:color w:val="1E252B"/>
                <w:sz w:val="16"/>
              </w:rPr>
              <w:t>18–25</w:t>
            </w:r>
          </w:p>
        </w:tc>
        <w:tc>
          <w:tcPr>
            <w:tcW w:type="dxa" w:w="1417"/>
            <w:shd w:fill="F3F6F8"/>
          </w:tcPr>
          <w:p>
            <w:pPr>
              <w:spacing w:after="0"/>
            </w:pPr>
            <w:r/>
            <w:r>
              <w:rPr>
                <w:rFonts w:ascii="Aptos" w:hAnsi="Aptos"/>
                <w:b w:val="0"/>
                <w:i w:val="0"/>
                <w:color w:val="1E252B"/>
                <w:sz w:val="16"/>
              </w:rPr>
              <w:t>30–42</w:t>
            </w:r>
          </w:p>
        </w:tc>
        <w:tc>
          <w:tcPr>
            <w:tcW w:type="dxa" w:w="3969"/>
            <w:shd w:fill="F3F6F8"/>
          </w:tcPr>
          <w:p>
            <w:pPr>
              <w:spacing w:after="0"/>
            </w:pPr>
            <w:r/>
            <w:r>
              <w:rPr>
                <w:rFonts w:ascii="Aptos" w:hAnsi="Aptos"/>
                <w:b w:val="0"/>
                <w:i w:val="0"/>
                <w:color w:val="1E252B"/>
                <w:sz w:val="16"/>
              </w:rPr>
              <w:t>Partial outsourcing possible.</w:t>
            </w:r>
          </w:p>
        </w:tc>
      </w:tr>
      <w:tr>
        <w:tc>
          <w:tcPr>
            <w:tcW w:type="dxa" w:w="2381"/>
            <w:shd w:fill="FFFFFF"/>
          </w:tcPr>
          <w:p>
            <w:pPr>
              <w:spacing w:after="0"/>
            </w:pPr>
            <w:r/>
            <w:r>
              <w:rPr>
                <w:rFonts w:ascii="Aptos" w:hAnsi="Aptos"/>
                <w:b w:val="0"/>
                <w:i w:val="0"/>
                <w:color w:val="1E252B"/>
                <w:sz w:val="16"/>
              </w:rPr>
              <w:t>Commercial/administration</w:t>
            </w:r>
          </w:p>
        </w:tc>
        <w:tc>
          <w:tcPr>
            <w:tcW w:type="dxa" w:w="1417"/>
            <w:shd w:fill="FFFFFF"/>
          </w:tcPr>
          <w:p>
            <w:pPr>
              <w:spacing w:after="0"/>
            </w:pPr>
            <w:r/>
            <w:r>
              <w:rPr>
                <w:rFonts w:ascii="Aptos" w:hAnsi="Aptos"/>
                <w:b w:val="0"/>
                <w:i w:val="0"/>
                <w:color w:val="1E252B"/>
                <w:sz w:val="16"/>
              </w:rPr>
              <w:t>15–22</w:t>
            </w:r>
          </w:p>
        </w:tc>
        <w:tc>
          <w:tcPr>
            <w:tcW w:type="dxa" w:w="1417"/>
            <w:shd w:fill="FFFFFF"/>
          </w:tcPr>
          <w:p>
            <w:pPr>
              <w:spacing w:after="0"/>
            </w:pPr>
            <w:r/>
            <w:r>
              <w:rPr>
                <w:rFonts w:ascii="Aptos" w:hAnsi="Aptos"/>
                <w:b w:val="0"/>
                <w:i w:val="0"/>
                <w:color w:val="1E252B"/>
                <w:sz w:val="16"/>
              </w:rPr>
              <w:t>25–35</w:t>
            </w:r>
          </w:p>
        </w:tc>
        <w:tc>
          <w:tcPr>
            <w:tcW w:type="dxa" w:w="3969"/>
            <w:shd w:fill="FFFFFF"/>
          </w:tcPr>
          <w:p>
            <w:pPr>
              <w:spacing w:after="0"/>
            </w:pPr>
            <w:r/>
            <w:r>
              <w:rPr>
                <w:rFonts w:ascii="Aptos" w:hAnsi="Aptos"/>
                <w:b w:val="0"/>
                <w:i w:val="0"/>
                <w:color w:val="1E252B"/>
                <w:sz w:val="16"/>
              </w:rPr>
              <w:t>Export, procurement, finance, IT.</w:t>
            </w:r>
          </w:p>
        </w:tc>
      </w:tr>
      <w:tr>
        <w:tc>
          <w:tcPr>
            <w:tcW w:type="dxa" w:w="2381"/>
            <w:shd w:fill="F3F6F8"/>
          </w:tcPr>
          <w:p>
            <w:pPr>
              <w:spacing w:after="0"/>
            </w:pPr>
            <w:r/>
            <w:r>
              <w:rPr>
                <w:rFonts w:ascii="Aptos" w:hAnsi="Aptos"/>
                <w:b w:val="0"/>
                <w:i w:val="0"/>
                <w:color w:val="1E252B"/>
                <w:sz w:val="16"/>
              </w:rPr>
              <w:t>Estimated direct total</w:t>
            </w:r>
          </w:p>
        </w:tc>
        <w:tc>
          <w:tcPr>
            <w:tcW w:type="dxa" w:w="1417"/>
            <w:shd w:fill="F3F6F8"/>
          </w:tcPr>
          <w:p>
            <w:pPr>
              <w:spacing w:after="0"/>
            </w:pPr>
            <w:r/>
            <w:r>
              <w:rPr>
                <w:rFonts w:ascii="Aptos" w:hAnsi="Aptos"/>
                <w:b w:val="0"/>
                <w:i w:val="0"/>
                <w:color w:val="1E252B"/>
                <w:sz w:val="16"/>
              </w:rPr>
              <w:t>112–154</w:t>
            </w:r>
          </w:p>
        </w:tc>
        <w:tc>
          <w:tcPr>
            <w:tcW w:type="dxa" w:w="1417"/>
            <w:shd w:fill="F3F6F8"/>
          </w:tcPr>
          <w:p>
            <w:pPr>
              <w:spacing w:after="0"/>
            </w:pPr>
            <w:r/>
            <w:r>
              <w:rPr>
                <w:rFonts w:ascii="Aptos" w:hAnsi="Aptos"/>
                <w:b w:val="0"/>
                <w:i w:val="0"/>
                <w:color w:val="1E252B"/>
                <w:sz w:val="16"/>
              </w:rPr>
              <w:t>198–264</w:t>
            </w:r>
          </w:p>
        </w:tc>
        <w:tc>
          <w:tcPr>
            <w:tcW w:type="dxa" w:w="3969"/>
            <w:shd w:fill="F3F6F8"/>
          </w:tcPr>
          <w:p>
            <w:pPr>
              <w:spacing w:after="0"/>
            </w:pPr>
            <w:r/>
            <w:r>
              <w:rPr>
                <w:rFonts w:ascii="Aptos" w:hAnsi="Aptos"/>
                <w:b w:val="0"/>
                <w:i w:val="0"/>
                <w:color w:val="1E252B"/>
                <w:sz w:val="16"/>
              </w:rPr>
              <w:t>Validate by layout, shifts, outsourcing.</w:t>
            </w:r>
          </w:p>
        </w:tc>
      </w:tr>
    </w:tbl>
    <w:p/>
    <w:p>
      <w:pPr>
        <w:spacing w:after="120" w:line="271" w:lineRule="auto"/>
        <w:jc w:val="both"/>
      </w:pPr>
      <w:r>
        <w:rPr>
          <w:rFonts w:ascii="Aptos" w:hAnsi="Aptos"/>
          <w:b w:val="0"/>
          <w:i w:val="0"/>
          <w:color w:val="1E252B"/>
          <w:sz w:val="20"/>
        </w:rPr>
        <w:t>The 237-person total in the 2020 study can be plausible at 65,000 t/y with a broad SKU mix, intensive packing, and continuous operation, but it should not be transferred to phase 1. Staffing must be built position by position, including relief, leave, training, collective agreements, and full employer cost.</w:t>
      </w:r>
    </w:p>
    <w:p>
      <w:r>
        <w:br w:type="page"/>
      </w:r>
    </w:p>
    <w:p>
      <w:pPr>
        <w:spacing w:after="60"/>
      </w:pPr>
      <w:r>
        <w:rPr>
          <w:rFonts w:ascii="Aptos" w:hAnsi="Aptos"/>
          <w:b/>
          <w:i w:val="0"/>
          <w:color w:val="C5A253"/>
          <w:sz w:val="17"/>
        </w:rPr>
        <w:t>CLASS 4 CAPEX</w:t>
      </w:r>
    </w:p>
    <w:p>
      <w:pPr>
        <w:spacing w:after="200"/>
      </w:pPr>
      <w:r>
        <w:rPr>
          <w:rFonts w:ascii="Aptos" w:hAnsi="Aptos"/>
          <w:b/>
          <w:i w:val="0"/>
          <w:color w:val="0B1F3A"/>
          <w:sz w:val="40"/>
        </w:rPr>
        <w:t>Updated Capital Investment</w:t>
      </w:r>
    </w:p>
    <w:tbl>
      <w:tblPr>
        <w:tblW w:type="auto" w:w="0"/>
        <w:jc w:val="center"/>
        <w:tblLayout w:type="fixed"/>
        <w:tblLook w:firstColumn="1" w:firstRow="1" w:lastColumn="0" w:lastRow="0" w:noHBand="0" w:noVBand="1" w:val="04A0"/>
      </w:tblPr>
      <w:tblGrid>
        <w:gridCol w:w="2367"/>
        <w:gridCol w:w="2367"/>
        <w:gridCol w:w="2367"/>
        <w:gridCol w:w="2367"/>
      </w:tblGrid>
      <w:tr>
        <w:tc>
          <w:tcPr>
            <w:tcW w:type="dxa" w:w="2721"/>
            <w:shd w:fill="0B1F3A"/>
          </w:tcPr>
          <w:p>
            <w:pPr>
              <w:spacing w:after="0"/>
            </w:pPr>
            <w:r/>
            <w:r>
              <w:rPr>
                <w:rFonts w:ascii="Aptos" w:hAnsi="Aptos"/>
                <w:b/>
                <w:i w:val="0"/>
                <w:color w:val="FFFFFF"/>
                <w:sz w:val="16"/>
              </w:rPr>
              <w:t>Package</w:t>
            </w:r>
          </w:p>
        </w:tc>
        <w:tc>
          <w:tcPr>
            <w:tcW w:type="dxa" w:w="1814"/>
            <w:shd w:fill="0B1F3A"/>
          </w:tcPr>
          <w:p>
            <w:pPr>
              <w:spacing w:after="0"/>
            </w:pPr>
            <w:r/>
            <w:r>
              <w:rPr>
                <w:rFonts w:ascii="Aptos" w:hAnsi="Aptos"/>
                <w:b/>
                <w:i w:val="0"/>
                <w:color w:val="FFFFFF"/>
                <w:sz w:val="16"/>
              </w:rPr>
              <w:t>Phase 1 USD M</w:t>
            </w:r>
          </w:p>
        </w:tc>
        <w:tc>
          <w:tcPr>
            <w:tcW w:type="dxa" w:w="1814"/>
            <w:shd w:fill="0B1F3A"/>
          </w:tcPr>
          <w:p>
            <w:pPr>
              <w:spacing w:after="0"/>
            </w:pPr>
            <w:r/>
            <w:r>
              <w:rPr>
                <w:rFonts w:ascii="Aptos" w:hAnsi="Aptos"/>
                <w:b/>
                <w:i w:val="0"/>
                <w:color w:val="FFFFFF"/>
                <w:sz w:val="16"/>
              </w:rPr>
              <w:t>Phase 2 USD M</w:t>
            </w:r>
          </w:p>
        </w:tc>
        <w:tc>
          <w:tcPr>
            <w:tcW w:type="dxa" w:w="2835"/>
            <w:shd w:fill="0B1F3A"/>
          </w:tcPr>
          <w:p>
            <w:pPr>
              <w:spacing w:after="0"/>
            </w:pPr>
            <w:r/>
            <w:r>
              <w:rPr>
                <w:rFonts w:ascii="Aptos" w:hAnsi="Aptos"/>
                <w:b/>
                <w:i w:val="0"/>
                <w:color w:val="FFFFFF"/>
                <w:sz w:val="16"/>
              </w:rPr>
              <w:t>Range note</w:t>
            </w:r>
          </w:p>
        </w:tc>
      </w:tr>
      <w:tr>
        <w:tc>
          <w:tcPr>
            <w:tcW w:type="dxa" w:w="2721"/>
            <w:shd w:fill="FFFFFF"/>
          </w:tcPr>
          <w:p>
            <w:pPr>
              <w:spacing w:after="0"/>
            </w:pPr>
            <w:r/>
            <w:r>
              <w:rPr>
                <w:rFonts w:ascii="Aptos" w:hAnsi="Aptos"/>
                <w:b w:val="0"/>
                <w:i w:val="0"/>
                <w:color w:val="1E252B"/>
                <w:sz w:val="16"/>
              </w:rPr>
              <w:t>Land and preparation</w:t>
            </w:r>
          </w:p>
        </w:tc>
        <w:tc>
          <w:tcPr>
            <w:tcW w:type="dxa" w:w="1814"/>
            <w:shd w:fill="FFFFFF"/>
          </w:tcPr>
          <w:p>
            <w:pPr>
              <w:spacing w:after="0"/>
            </w:pPr>
            <w:r/>
            <w:r>
              <w:rPr>
                <w:rFonts w:ascii="Aptos" w:hAnsi="Aptos"/>
                <w:b w:val="0"/>
                <w:i w:val="0"/>
                <w:color w:val="1E252B"/>
                <w:sz w:val="16"/>
              </w:rPr>
              <w:t>2.0–4.0</w:t>
            </w:r>
          </w:p>
        </w:tc>
        <w:tc>
          <w:tcPr>
            <w:tcW w:type="dxa" w:w="1814"/>
            <w:shd w:fill="FFFFFF"/>
          </w:tcPr>
          <w:p>
            <w:pPr>
              <w:spacing w:after="0"/>
            </w:pPr>
            <w:r/>
            <w:r>
              <w:rPr>
                <w:rFonts w:ascii="Aptos" w:hAnsi="Aptos"/>
                <w:b w:val="0"/>
                <w:i w:val="0"/>
                <w:color w:val="1E252B"/>
                <w:sz w:val="16"/>
              </w:rPr>
              <w:t>0.3–1.0</w:t>
            </w:r>
          </w:p>
        </w:tc>
        <w:tc>
          <w:tcPr>
            <w:tcW w:type="dxa" w:w="2835"/>
            <w:shd w:fill="FFFFFF"/>
          </w:tcPr>
          <w:p>
            <w:pPr>
              <w:spacing w:after="0"/>
            </w:pPr>
            <w:r/>
            <w:r>
              <w:rPr>
                <w:rFonts w:ascii="Aptos" w:hAnsi="Aptos"/>
                <w:b w:val="0"/>
                <w:i w:val="0"/>
                <w:color w:val="1E252B"/>
                <w:sz w:val="16"/>
              </w:rPr>
              <w:t>Purchase or industrial park.</w:t>
            </w:r>
          </w:p>
        </w:tc>
      </w:tr>
      <w:tr>
        <w:tc>
          <w:tcPr>
            <w:tcW w:type="dxa" w:w="2721"/>
            <w:shd w:fill="F3F6F8"/>
          </w:tcPr>
          <w:p>
            <w:pPr>
              <w:spacing w:after="0"/>
            </w:pPr>
            <w:r/>
            <w:r>
              <w:rPr>
                <w:rFonts w:ascii="Aptos" w:hAnsi="Aptos"/>
                <w:b w:val="0"/>
                <w:i w:val="0"/>
                <w:color w:val="1E252B"/>
                <w:sz w:val="16"/>
              </w:rPr>
              <w:t>Civil works/buildings</w:t>
            </w:r>
          </w:p>
        </w:tc>
        <w:tc>
          <w:tcPr>
            <w:tcW w:type="dxa" w:w="1814"/>
            <w:shd w:fill="F3F6F8"/>
          </w:tcPr>
          <w:p>
            <w:pPr>
              <w:spacing w:after="0"/>
            </w:pPr>
            <w:r/>
            <w:r>
              <w:rPr>
                <w:rFonts w:ascii="Aptos" w:hAnsi="Aptos"/>
                <w:b w:val="0"/>
                <w:i w:val="0"/>
                <w:color w:val="1E252B"/>
                <w:sz w:val="16"/>
              </w:rPr>
              <w:t>8.0–12.0</w:t>
            </w:r>
          </w:p>
        </w:tc>
        <w:tc>
          <w:tcPr>
            <w:tcW w:type="dxa" w:w="1814"/>
            <w:shd w:fill="F3F6F8"/>
          </w:tcPr>
          <w:p>
            <w:pPr>
              <w:spacing w:after="0"/>
            </w:pPr>
            <w:r/>
            <w:r>
              <w:rPr>
                <w:rFonts w:ascii="Aptos" w:hAnsi="Aptos"/>
                <w:b w:val="0"/>
                <w:i w:val="0"/>
                <w:color w:val="1E252B"/>
                <w:sz w:val="16"/>
              </w:rPr>
              <w:t>3.0–5.0</w:t>
            </w:r>
          </w:p>
        </w:tc>
        <w:tc>
          <w:tcPr>
            <w:tcW w:type="dxa" w:w="2835"/>
            <w:shd w:fill="F3F6F8"/>
          </w:tcPr>
          <w:p>
            <w:pPr>
              <w:spacing w:after="0"/>
            </w:pPr>
            <w:r/>
            <w:r>
              <w:rPr>
                <w:rFonts w:ascii="Aptos" w:hAnsi="Aptos"/>
                <w:b w:val="0"/>
                <w:i w:val="0"/>
                <w:color w:val="1E252B"/>
                <w:sz w:val="16"/>
              </w:rPr>
              <w:t>Includes hygienic segregation.</w:t>
            </w:r>
          </w:p>
        </w:tc>
      </w:tr>
      <w:tr>
        <w:tc>
          <w:tcPr>
            <w:tcW w:type="dxa" w:w="2721"/>
            <w:shd w:fill="FFFFFF"/>
          </w:tcPr>
          <w:p>
            <w:pPr>
              <w:spacing w:after="0"/>
            </w:pPr>
            <w:r/>
            <w:r>
              <w:rPr>
                <w:rFonts w:ascii="Aptos" w:hAnsi="Aptos"/>
                <w:b w:val="0"/>
                <w:i w:val="0"/>
                <w:color w:val="1E252B"/>
                <w:sz w:val="16"/>
              </w:rPr>
              <w:t>Process/packaging</w:t>
            </w:r>
          </w:p>
        </w:tc>
        <w:tc>
          <w:tcPr>
            <w:tcW w:type="dxa" w:w="1814"/>
            <w:shd w:fill="FFFFFF"/>
          </w:tcPr>
          <w:p>
            <w:pPr>
              <w:spacing w:after="0"/>
            </w:pPr>
            <w:r/>
            <w:r>
              <w:rPr>
                <w:rFonts w:ascii="Aptos" w:hAnsi="Aptos"/>
                <w:b w:val="0"/>
                <w:i w:val="0"/>
                <w:color w:val="1E252B"/>
                <w:sz w:val="16"/>
              </w:rPr>
              <w:t>11.0–15.0</w:t>
            </w:r>
          </w:p>
        </w:tc>
        <w:tc>
          <w:tcPr>
            <w:tcW w:type="dxa" w:w="1814"/>
            <w:shd w:fill="FFFFFF"/>
          </w:tcPr>
          <w:p>
            <w:pPr>
              <w:spacing w:after="0"/>
            </w:pPr>
            <w:r/>
            <w:r>
              <w:rPr>
                <w:rFonts w:ascii="Aptos" w:hAnsi="Aptos"/>
                <w:b w:val="0"/>
                <w:i w:val="0"/>
                <w:color w:val="1E252B"/>
                <w:sz w:val="16"/>
              </w:rPr>
              <w:t>10.0–14.0</w:t>
            </w:r>
          </w:p>
        </w:tc>
        <w:tc>
          <w:tcPr>
            <w:tcW w:type="dxa" w:w="2835"/>
            <w:shd w:fill="FFFFFF"/>
          </w:tcPr>
          <w:p>
            <w:pPr>
              <w:spacing w:after="0"/>
            </w:pPr>
            <w:r/>
            <w:r>
              <w:rPr>
                <w:rFonts w:ascii="Aptos" w:hAnsi="Aptos"/>
                <w:b w:val="0"/>
                <w:i w:val="0"/>
                <w:color w:val="1E252B"/>
                <w:sz w:val="16"/>
              </w:rPr>
              <w:t>Imported and domestic equipment.</w:t>
            </w:r>
          </w:p>
        </w:tc>
      </w:tr>
      <w:tr>
        <w:tc>
          <w:tcPr>
            <w:tcW w:type="dxa" w:w="2721"/>
            <w:shd w:fill="F3F6F8"/>
          </w:tcPr>
          <w:p>
            <w:pPr>
              <w:spacing w:after="0"/>
            </w:pPr>
            <w:r/>
            <w:r>
              <w:rPr>
                <w:rFonts w:ascii="Aptos" w:hAnsi="Aptos"/>
                <w:b w:val="0"/>
                <w:i w:val="0"/>
                <w:color w:val="1E252B"/>
                <w:sz w:val="16"/>
              </w:rPr>
              <w:t>Utilities/electrical/automation</w:t>
            </w:r>
          </w:p>
        </w:tc>
        <w:tc>
          <w:tcPr>
            <w:tcW w:type="dxa" w:w="1814"/>
            <w:shd w:fill="F3F6F8"/>
          </w:tcPr>
          <w:p>
            <w:pPr>
              <w:spacing w:after="0"/>
            </w:pPr>
            <w:r/>
            <w:r>
              <w:rPr>
                <w:rFonts w:ascii="Aptos" w:hAnsi="Aptos"/>
                <w:b w:val="0"/>
                <w:i w:val="0"/>
                <w:color w:val="1E252B"/>
                <w:sz w:val="16"/>
              </w:rPr>
              <w:t>4.0–6.0</w:t>
            </w:r>
          </w:p>
        </w:tc>
        <w:tc>
          <w:tcPr>
            <w:tcW w:type="dxa" w:w="1814"/>
            <w:shd w:fill="F3F6F8"/>
          </w:tcPr>
          <w:p>
            <w:pPr>
              <w:spacing w:after="0"/>
            </w:pPr>
            <w:r/>
            <w:r>
              <w:rPr>
                <w:rFonts w:ascii="Aptos" w:hAnsi="Aptos"/>
                <w:b w:val="0"/>
                <w:i w:val="0"/>
                <w:color w:val="1E252B"/>
                <w:sz w:val="16"/>
              </w:rPr>
              <w:t>2.5–4.0</w:t>
            </w:r>
          </w:p>
        </w:tc>
        <w:tc>
          <w:tcPr>
            <w:tcW w:type="dxa" w:w="2835"/>
            <w:shd w:fill="F3F6F8"/>
          </w:tcPr>
          <w:p>
            <w:pPr>
              <w:spacing w:after="0"/>
            </w:pPr>
            <w:r/>
            <w:r>
              <w:rPr>
                <w:rFonts w:ascii="Aptos" w:hAnsi="Aptos"/>
                <w:b w:val="0"/>
                <w:i w:val="0"/>
                <w:color w:val="1E252B"/>
                <w:sz w:val="16"/>
              </w:rPr>
              <w:t>Power, steam, air, SCADA.</w:t>
            </w:r>
          </w:p>
        </w:tc>
      </w:tr>
      <w:tr>
        <w:tc>
          <w:tcPr>
            <w:tcW w:type="dxa" w:w="2721"/>
            <w:shd w:fill="FFFFFF"/>
          </w:tcPr>
          <w:p>
            <w:pPr>
              <w:spacing w:after="0"/>
            </w:pPr>
            <w:r/>
            <w:r>
              <w:rPr>
                <w:rFonts w:ascii="Aptos" w:hAnsi="Aptos"/>
                <w:b w:val="0"/>
                <w:i w:val="0"/>
                <w:color w:val="1E252B"/>
                <w:sz w:val="16"/>
              </w:rPr>
              <w:t>Laboratory/engineering/permits</w:t>
            </w:r>
          </w:p>
        </w:tc>
        <w:tc>
          <w:tcPr>
            <w:tcW w:type="dxa" w:w="1814"/>
            <w:shd w:fill="FFFFFF"/>
          </w:tcPr>
          <w:p>
            <w:pPr>
              <w:spacing w:after="0"/>
            </w:pPr>
            <w:r/>
            <w:r>
              <w:rPr>
                <w:rFonts w:ascii="Aptos" w:hAnsi="Aptos"/>
                <w:b w:val="0"/>
                <w:i w:val="0"/>
                <w:color w:val="1E252B"/>
                <w:sz w:val="16"/>
              </w:rPr>
              <w:t>2.0–3.0</w:t>
            </w:r>
          </w:p>
        </w:tc>
        <w:tc>
          <w:tcPr>
            <w:tcW w:type="dxa" w:w="1814"/>
            <w:shd w:fill="FFFFFF"/>
          </w:tcPr>
          <w:p>
            <w:pPr>
              <w:spacing w:after="0"/>
            </w:pPr>
            <w:r/>
            <w:r>
              <w:rPr>
                <w:rFonts w:ascii="Aptos" w:hAnsi="Aptos"/>
                <w:b w:val="0"/>
                <w:i w:val="0"/>
                <w:color w:val="1E252B"/>
                <w:sz w:val="16"/>
              </w:rPr>
              <w:t>0.8–1.5</w:t>
            </w:r>
          </w:p>
        </w:tc>
        <w:tc>
          <w:tcPr>
            <w:tcW w:type="dxa" w:w="2835"/>
            <w:shd w:fill="FFFFFF"/>
          </w:tcPr>
          <w:p>
            <w:pPr>
              <w:spacing w:after="0"/>
            </w:pPr>
            <w:r/>
            <w:r>
              <w:rPr>
                <w:rFonts w:ascii="Aptos" w:hAnsi="Aptos"/>
                <w:b w:val="0"/>
                <w:i w:val="0"/>
                <w:color w:val="1E252B"/>
                <w:sz w:val="16"/>
              </w:rPr>
              <w:t>Engineering, QA, validation.</w:t>
            </w:r>
          </w:p>
        </w:tc>
      </w:tr>
      <w:tr>
        <w:tc>
          <w:tcPr>
            <w:tcW w:type="dxa" w:w="2721"/>
            <w:shd w:fill="F3F6F8"/>
          </w:tcPr>
          <w:p>
            <w:pPr>
              <w:spacing w:after="0"/>
            </w:pPr>
            <w:r/>
            <w:r>
              <w:rPr>
                <w:rFonts w:ascii="Aptos" w:hAnsi="Aptos"/>
                <w:b w:val="0"/>
                <w:i w:val="0"/>
                <w:color w:val="1E252B"/>
                <w:sz w:val="16"/>
              </w:rPr>
              <w:t>Contingency</w:t>
            </w:r>
          </w:p>
        </w:tc>
        <w:tc>
          <w:tcPr>
            <w:tcW w:type="dxa" w:w="1814"/>
            <w:shd w:fill="F3F6F8"/>
          </w:tcPr>
          <w:p>
            <w:pPr>
              <w:spacing w:after="0"/>
            </w:pPr>
            <w:r/>
            <w:r>
              <w:rPr>
                <w:rFonts w:ascii="Aptos" w:hAnsi="Aptos"/>
                <w:b w:val="0"/>
                <w:i w:val="0"/>
                <w:color w:val="1E252B"/>
                <w:sz w:val="16"/>
              </w:rPr>
              <w:t>4.0–5.0</w:t>
            </w:r>
          </w:p>
        </w:tc>
        <w:tc>
          <w:tcPr>
            <w:tcW w:type="dxa" w:w="1814"/>
            <w:shd w:fill="F3F6F8"/>
          </w:tcPr>
          <w:p>
            <w:pPr>
              <w:spacing w:after="0"/>
            </w:pPr>
            <w:r/>
            <w:r>
              <w:rPr>
                <w:rFonts w:ascii="Aptos" w:hAnsi="Aptos"/>
                <w:b w:val="0"/>
                <w:i w:val="0"/>
                <w:color w:val="1E252B"/>
                <w:sz w:val="16"/>
              </w:rPr>
              <w:t>2.0–3.0</w:t>
            </w:r>
          </w:p>
        </w:tc>
        <w:tc>
          <w:tcPr>
            <w:tcW w:type="dxa" w:w="2835"/>
            <w:shd w:fill="F3F6F8"/>
          </w:tcPr>
          <w:p>
            <w:pPr>
              <w:spacing w:after="0"/>
            </w:pPr>
            <w:r/>
            <w:r>
              <w:rPr>
                <w:rFonts w:ascii="Aptos" w:hAnsi="Aptos"/>
                <w:b w:val="0"/>
                <w:i w:val="0"/>
                <w:color w:val="1E252B"/>
                <w:sz w:val="16"/>
              </w:rPr>
              <w:t>At least 15% until firm RFQ.</w:t>
            </w:r>
          </w:p>
        </w:tc>
      </w:tr>
      <w:tr>
        <w:tc>
          <w:tcPr>
            <w:tcW w:type="dxa" w:w="2721"/>
            <w:shd w:fill="FFFFFF"/>
          </w:tcPr>
          <w:p>
            <w:pPr>
              <w:spacing w:after="0"/>
            </w:pPr>
            <w:r/>
            <w:r>
              <w:rPr>
                <w:rFonts w:ascii="Aptos" w:hAnsi="Aptos"/>
                <w:b w:val="0"/>
                <w:i w:val="0"/>
                <w:color w:val="1E252B"/>
                <w:sz w:val="16"/>
              </w:rPr>
              <w:t>Indicative total</w:t>
            </w:r>
          </w:p>
        </w:tc>
        <w:tc>
          <w:tcPr>
            <w:tcW w:type="dxa" w:w="1814"/>
            <w:shd w:fill="FFFFFF"/>
          </w:tcPr>
          <w:p>
            <w:pPr>
              <w:spacing w:after="0"/>
            </w:pPr>
            <w:r/>
            <w:r>
              <w:rPr>
                <w:rFonts w:ascii="Aptos" w:hAnsi="Aptos"/>
                <w:b w:val="0"/>
                <w:i w:val="0"/>
                <w:color w:val="1E252B"/>
                <w:sz w:val="16"/>
              </w:rPr>
              <w:t>31–45</w:t>
            </w:r>
          </w:p>
        </w:tc>
        <w:tc>
          <w:tcPr>
            <w:tcW w:type="dxa" w:w="1814"/>
            <w:shd w:fill="FFFFFF"/>
          </w:tcPr>
          <w:p>
            <w:pPr>
              <w:spacing w:after="0"/>
            </w:pPr>
            <w:r/>
            <w:r>
              <w:rPr>
                <w:rFonts w:ascii="Aptos" w:hAnsi="Aptos"/>
                <w:b w:val="0"/>
                <w:i w:val="0"/>
                <w:color w:val="1E252B"/>
                <w:sz w:val="16"/>
              </w:rPr>
              <w:t>18.6–28.5</w:t>
            </w:r>
          </w:p>
        </w:tc>
        <w:tc>
          <w:tcPr>
            <w:tcW w:type="dxa" w:w="2835"/>
            <w:shd w:fill="FFFFFF"/>
          </w:tcPr>
          <w:p>
            <w:pPr>
              <w:spacing w:after="0"/>
            </w:pPr>
            <w:r/>
            <w:r>
              <w:rPr>
                <w:rFonts w:ascii="Aptos" w:hAnsi="Aptos"/>
                <w:b w:val="0"/>
                <w:i w:val="0"/>
                <w:color w:val="1E252B"/>
                <w:sz w:val="16"/>
              </w:rPr>
              <w:t>Financial base: 34 + 22.</w:t>
            </w:r>
          </w:p>
        </w:tc>
      </w:tr>
    </w:tbl>
    <w:p/>
    <w:p>
      <w:pPr>
        <w:spacing w:after="120" w:line="271" w:lineRule="auto"/>
        <w:jc w:val="both"/>
      </w:pPr>
      <w:r>
        <w:rPr>
          <w:rFonts w:ascii="Aptos" w:hAnsi="Aptos"/>
          <w:b w:val="0"/>
          <w:i w:val="0"/>
          <w:color w:val="1E252B"/>
          <w:sz w:val="20"/>
        </w:rPr>
        <w:t>The USD 28 million private port included in 2020 is excluded. At 65,000 t/y, the project should first compare terminal fees, bonded storage, containers, and barges. A dedicated berth should only return to scope if a separate logistics business case proves additional third-party volume and feasible permitting.</w:t>
      </w:r>
    </w:p>
    <w:p>
      <w:r>
        <w:br w:type="page"/>
      </w:r>
    </w:p>
    <w:p>
      <w:pPr>
        <w:spacing w:after="60"/>
      </w:pPr>
      <w:r>
        <w:rPr>
          <w:rFonts w:ascii="Aptos" w:hAnsi="Aptos"/>
          <w:b/>
          <w:i w:val="0"/>
          <w:color w:val="C5A253"/>
          <w:sz w:val="17"/>
        </w:rPr>
        <w:t>CONSTANT 2026 USD</w:t>
      </w:r>
    </w:p>
    <w:p>
      <w:pPr>
        <w:spacing w:after="200"/>
      </w:pPr>
      <w:r>
        <w:rPr>
          <w:rFonts w:ascii="Aptos" w:hAnsi="Aptos"/>
          <w:b/>
          <w:i w:val="0"/>
          <w:color w:val="0B1F3A"/>
          <w:sz w:val="40"/>
        </w:rPr>
        <w:t>Financial Assumptions</w:t>
      </w:r>
    </w:p>
    <w:tbl>
      <w:tblPr>
        <w:tblW w:type="auto" w:w="0"/>
        <w:jc w:val="center"/>
        <w:tblLayout w:type="fixed"/>
        <w:tblLook w:firstColumn="1" w:firstRow="1" w:lastColumn="0" w:lastRow="0" w:noHBand="0" w:noVBand="1" w:val="04A0"/>
      </w:tblPr>
      <w:tblGrid>
        <w:gridCol w:w="2367"/>
        <w:gridCol w:w="2367"/>
        <w:gridCol w:w="2367"/>
        <w:gridCol w:w="2367"/>
      </w:tblGrid>
      <w:tr>
        <w:tc>
          <w:tcPr>
            <w:tcW w:type="dxa" w:w="2721"/>
            <w:shd w:fill="0B1F3A"/>
          </w:tcPr>
          <w:p>
            <w:pPr>
              <w:spacing w:after="0"/>
            </w:pPr>
            <w:r/>
            <w:r>
              <w:rPr>
                <w:rFonts w:ascii="Aptos" w:hAnsi="Aptos"/>
                <w:b/>
                <w:i w:val="0"/>
                <w:color w:val="FFFFFF"/>
                <w:sz w:val="16"/>
              </w:rPr>
              <w:t>Assumption</w:t>
            </w:r>
          </w:p>
        </w:tc>
        <w:tc>
          <w:tcPr>
            <w:tcW w:type="dxa" w:w="2154"/>
            <w:shd w:fill="0B1F3A"/>
          </w:tcPr>
          <w:p>
            <w:pPr>
              <w:spacing w:after="0"/>
            </w:pPr>
            <w:r/>
            <w:r>
              <w:rPr>
                <w:rFonts w:ascii="Aptos" w:hAnsi="Aptos"/>
                <w:b/>
                <w:i w:val="0"/>
                <w:color w:val="FFFFFF"/>
                <w:sz w:val="16"/>
              </w:rPr>
              <w:t>Base</w:t>
            </w:r>
          </w:p>
        </w:tc>
        <w:tc>
          <w:tcPr>
            <w:tcW w:type="dxa" w:w="2154"/>
            <w:shd w:fill="0B1F3A"/>
          </w:tcPr>
          <w:p>
            <w:pPr>
              <w:spacing w:after="0"/>
            </w:pPr>
            <w:r/>
            <w:r>
              <w:rPr>
                <w:rFonts w:ascii="Aptos" w:hAnsi="Aptos"/>
                <w:b/>
                <w:i w:val="0"/>
                <w:color w:val="FFFFFF"/>
                <w:sz w:val="16"/>
              </w:rPr>
              <w:t>Downside</w:t>
            </w:r>
          </w:p>
        </w:tc>
        <w:tc>
          <w:tcPr>
            <w:tcW w:type="dxa" w:w="2154"/>
            <w:shd w:fill="0B1F3A"/>
          </w:tcPr>
          <w:p>
            <w:pPr>
              <w:spacing w:after="0"/>
            </w:pPr>
            <w:r/>
            <w:r>
              <w:rPr>
                <w:rFonts w:ascii="Aptos" w:hAnsi="Aptos"/>
                <w:b/>
                <w:i w:val="0"/>
                <w:color w:val="FFFFFF"/>
                <w:sz w:val="16"/>
              </w:rPr>
              <w:t>Upside</w:t>
            </w:r>
          </w:p>
        </w:tc>
      </w:tr>
      <w:tr>
        <w:tc>
          <w:tcPr>
            <w:tcW w:type="dxa" w:w="2721"/>
            <w:shd w:fill="FFFFFF"/>
          </w:tcPr>
          <w:p>
            <w:pPr>
              <w:spacing w:after="0"/>
            </w:pPr>
            <w:r/>
            <w:r>
              <w:rPr>
                <w:rFonts w:ascii="Aptos" w:hAnsi="Aptos"/>
                <w:b w:val="0"/>
                <w:i w:val="0"/>
                <w:color w:val="1E252B"/>
                <w:sz w:val="16"/>
              </w:rPr>
              <w:t>Net average selling price</w:t>
            </w:r>
          </w:p>
        </w:tc>
        <w:tc>
          <w:tcPr>
            <w:tcW w:type="dxa" w:w="2154"/>
            <w:shd w:fill="FFFFFF"/>
          </w:tcPr>
          <w:p>
            <w:pPr>
              <w:spacing w:after="0"/>
            </w:pPr>
            <w:r/>
            <w:r>
              <w:rPr>
                <w:rFonts w:ascii="Aptos" w:hAnsi="Aptos"/>
                <w:b w:val="0"/>
                <w:i w:val="0"/>
                <w:color w:val="1E252B"/>
                <w:sz w:val="16"/>
              </w:rPr>
              <w:t>USD 1,120/t</w:t>
            </w:r>
          </w:p>
        </w:tc>
        <w:tc>
          <w:tcPr>
            <w:tcW w:type="dxa" w:w="2154"/>
            <w:shd w:fill="FFFFFF"/>
          </w:tcPr>
          <w:p>
            <w:pPr>
              <w:spacing w:after="0"/>
            </w:pPr>
            <w:r/>
            <w:r>
              <w:rPr>
                <w:rFonts w:ascii="Aptos" w:hAnsi="Aptos"/>
                <w:b w:val="0"/>
                <w:i w:val="0"/>
                <w:color w:val="1E252B"/>
                <w:sz w:val="16"/>
              </w:rPr>
              <w:t>USD 950/t</w:t>
            </w:r>
          </w:p>
        </w:tc>
        <w:tc>
          <w:tcPr>
            <w:tcW w:type="dxa" w:w="2154"/>
            <w:shd w:fill="FFFFFF"/>
          </w:tcPr>
          <w:p>
            <w:pPr>
              <w:spacing w:after="0"/>
            </w:pPr>
            <w:r/>
            <w:r>
              <w:rPr>
                <w:rFonts w:ascii="Aptos" w:hAnsi="Aptos"/>
                <w:b w:val="0"/>
                <w:i w:val="0"/>
                <w:color w:val="1E252B"/>
                <w:sz w:val="16"/>
              </w:rPr>
              <w:t>USD 1,250/t</w:t>
            </w:r>
          </w:p>
        </w:tc>
      </w:tr>
      <w:tr>
        <w:tc>
          <w:tcPr>
            <w:tcW w:type="dxa" w:w="2721"/>
            <w:shd w:fill="F3F6F8"/>
          </w:tcPr>
          <w:p>
            <w:pPr>
              <w:spacing w:after="0"/>
            </w:pPr>
            <w:r/>
            <w:r>
              <w:rPr>
                <w:rFonts w:ascii="Aptos" w:hAnsi="Aptos"/>
                <w:b w:val="0"/>
                <w:i w:val="0"/>
                <w:color w:val="1E252B"/>
                <w:sz w:val="16"/>
              </w:rPr>
              <w:t>Variable cost</w:t>
            </w:r>
          </w:p>
        </w:tc>
        <w:tc>
          <w:tcPr>
            <w:tcW w:type="dxa" w:w="2154"/>
            <w:shd w:fill="F3F6F8"/>
          </w:tcPr>
          <w:p>
            <w:pPr>
              <w:spacing w:after="0"/>
            </w:pPr>
            <w:r/>
            <w:r>
              <w:rPr>
                <w:rFonts w:ascii="Aptos" w:hAnsi="Aptos"/>
                <w:b w:val="0"/>
                <w:i w:val="0"/>
                <w:color w:val="1E252B"/>
                <w:sz w:val="16"/>
              </w:rPr>
              <w:t>USD 650/t</w:t>
            </w:r>
          </w:p>
        </w:tc>
        <w:tc>
          <w:tcPr>
            <w:tcW w:type="dxa" w:w="2154"/>
            <w:shd w:fill="F3F6F8"/>
          </w:tcPr>
          <w:p>
            <w:pPr>
              <w:spacing w:after="0"/>
            </w:pPr>
            <w:r/>
            <w:r>
              <w:rPr>
                <w:rFonts w:ascii="Aptos" w:hAnsi="Aptos"/>
                <w:b w:val="0"/>
                <w:i w:val="0"/>
                <w:color w:val="1E252B"/>
                <w:sz w:val="16"/>
              </w:rPr>
              <w:t>USD 720/t</w:t>
            </w:r>
          </w:p>
        </w:tc>
        <w:tc>
          <w:tcPr>
            <w:tcW w:type="dxa" w:w="2154"/>
            <w:shd w:fill="F3F6F8"/>
          </w:tcPr>
          <w:p>
            <w:pPr>
              <w:spacing w:after="0"/>
            </w:pPr>
            <w:r/>
            <w:r>
              <w:rPr>
                <w:rFonts w:ascii="Aptos" w:hAnsi="Aptos"/>
                <w:b w:val="0"/>
                <w:i w:val="0"/>
                <w:color w:val="1E252B"/>
                <w:sz w:val="16"/>
              </w:rPr>
              <w:t>USD 590/t</w:t>
            </w:r>
          </w:p>
        </w:tc>
      </w:tr>
      <w:tr>
        <w:tc>
          <w:tcPr>
            <w:tcW w:type="dxa" w:w="2721"/>
            <w:shd w:fill="FFFFFF"/>
          </w:tcPr>
          <w:p>
            <w:pPr>
              <w:spacing w:after="0"/>
            </w:pPr>
            <w:r/>
            <w:r>
              <w:rPr>
                <w:rFonts w:ascii="Aptos" w:hAnsi="Aptos"/>
                <w:b w:val="0"/>
                <w:i w:val="0"/>
                <w:color w:val="1E252B"/>
                <w:sz w:val="16"/>
              </w:rPr>
              <w:t>Mature volume</w:t>
            </w:r>
          </w:p>
        </w:tc>
        <w:tc>
          <w:tcPr>
            <w:tcW w:type="dxa" w:w="2154"/>
            <w:shd w:fill="FFFFFF"/>
          </w:tcPr>
          <w:p>
            <w:pPr>
              <w:spacing w:after="0"/>
            </w:pPr>
            <w:r/>
            <w:r>
              <w:rPr>
                <w:rFonts w:ascii="Aptos" w:hAnsi="Aptos"/>
                <w:b w:val="0"/>
                <w:i w:val="0"/>
                <w:color w:val="1E252B"/>
                <w:sz w:val="16"/>
              </w:rPr>
              <w:t>65,000 t/y</w:t>
            </w:r>
          </w:p>
        </w:tc>
        <w:tc>
          <w:tcPr>
            <w:tcW w:type="dxa" w:w="2154"/>
            <w:shd w:fill="FFFFFF"/>
          </w:tcPr>
          <w:p>
            <w:pPr>
              <w:spacing w:after="0"/>
            </w:pPr>
            <w:r/>
            <w:r>
              <w:rPr>
                <w:rFonts w:ascii="Aptos" w:hAnsi="Aptos"/>
                <w:b w:val="0"/>
                <w:i w:val="0"/>
                <w:color w:val="1E252B"/>
                <w:sz w:val="16"/>
              </w:rPr>
              <w:t>52,000 t/y</w:t>
            </w:r>
          </w:p>
        </w:tc>
        <w:tc>
          <w:tcPr>
            <w:tcW w:type="dxa" w:w="2154"/>
            <w:shd w:fill="FFFFFF"/>
          </w:tcPr>
          <w:p>
            <w:pPr>
              <w:spacing w:after="0"/>
            </w:pPr>
            <w:r/>
            <w:r>
              <w:rPr>
                <w:rFonts w:ascii="Aptos" w:hAnsi="Aptos"/>
                <w:b w:val="0"/>
                <w:i w:val="0"/>
                <w:color w:val="1E252B"/>
                <w:sz w:val="16"/>
              </w:rPr>
              <w:t>65,000 t/y</w:t>
            </w:r>
          </w:p>
        </w:tc>
      </w:tr>
      <w:tr>
        <w:tc>
          <w:tcPr>
            <w:tcW w:type="dxa" w:w="2721"/>
            <w:shd w:fill="F3F6F8"/>
          </w:tcPr>
          <w:p>
            <w:pPr>
              <w:spacing w:after="0"/>
            </w:pPr>
            <w:r/>
            <w:r>
              <w:rPr>
                <w:rFonts w:ascii="Aptos" w:hAnsi="Aptos"/>
                <w:b w:val="0"/>
                <w:i w:val="0"/>
                <w:color w:val="1E252B"/>
                <w:sz w:val="16"/>
              </w:rPr>
              <w:t>Mature fixed costs</w:t>
            </w:r>
          </w:p>
        </w:tc>
        <w:tc>
          <w:tcPr>
            <w:tcW w:type="dxa" w:w="2154"/>
            <w:shd w:fill="F3F6F8"/>
          </w:tcPr>
          <w:p>
            <w:pPr>
              <w:spacing w:after="0"/>
            </w:pPr>
            <w:r/>
            <w:r>
              <w:rPr>
                <w:rFonts w:ascii="Aptos" w:hAnsi="Aptos"/>
                <w:b w:val="0"/>
                <w:i w:val="0"/>
                <w:color w:val="1E252B"/>
                <w:sz w:val="16"/>
              </w:rPr>
              <w:t>USD 7.5M/y</w:t>
            </w:r>
          </w:p>
        </w:tc>
        <w:tc>
          <w:tcPr>
            <w:tcW w:type="dxa" w:w="2154"/>
            <w:shd w:fill="F3F6F8"/>
          </w:tcPr>
          <w:p>
            <w:pPr>
              <w:spacing w:after="0"/>
            </w:pPr>
            <w:r/>
            <w:r>
              <w:rPr>
                <w:rFonts w:ascii="Aptos" w:hAnsi="Aptos"/>
                <w:b w:val="0"/>
                <w:i w:val="0"/>
                <w:color w:val="1E252B"/>
                <w:sz w:val="16"/>
              </w:rPr>
              <w:t>USD 8.3M/y</w:t>
            </w:r>
          </w:p>
        </w:tc>
        <w:tc>
          <w:tcPr>
            <w:tcW w:type="dxa" w:w="2154"/>
            <w:shd w:fill="F3F6F8"/>
          </w:tcPr>
          <w:p>
            <w:pPr>
              <w:spacing w:after="0"/>
            </w:pPr>
            <w:r/>
            <w:r>
              <w:rPr>
                <w:rFonts w:ascii="Aptos" w:hAnsi="Aptos"/>
                <w:b w:val="0"/>
                <w:i w:val="0"/>
                <w:color w:val="1E252B"/>
                <w:sz w:val="16"/>
              </w:rPr>
              <w:t>USD 7.0M/y</w:t>
            </w:r>
          </w:p>
        </w:tc>
      </w:tr>
      <w:tr>
        <w:tc>
          <w:tcPr>
            <w:tcW w:type="dxa" w:w="2721"/>
            <w:shd w:fill="FFFFFF"/>
          </w:tcPr>
          <w:p>
            <w:pPr>
              <w:spacing w:after="0"/>
            </w:pPr>
            <w:r/>
            <w:r>
              <w:rPr>
                <w:rFonts w:ascii="Aptos" w:hAnsi="Aptos"/>
                <w:b w:val="0"/>
                <w:i w:val="0"/>
                <w:color w:val="1E252B"/>
                <w:sz w:val="16"/>
              </w:rPr>
              <w:t>Base total CAPEX</w:t>
            </w:r>
          </w:p>
        </w:tc>
        <w:tc>
          <w:tcPr>
            <w:tcW w:type="dxa" w:w="2154"/>
            <w:shd w:fill="FFFFFF"/>
          </w:tcPr>
          <w:p>
            <w:pPr>
              <w:spacing w:after="0"/>
            </w:pPr>
            <w:r/>
            <w:r>
              <w:rPr>
                <w:rFonts w:ascii="Aptos" w:hAnsi="Aptos"/>
                <w:b w:val="0"/>
                <w:i w:val="0"/>
                <w:color w:val="1E252B"/>
                <w:sz w:val="16"/>
              </w:rPr>
              <w:t>USD 56M</w:t>
            </w:r>
          </w:p>
        </w:tc>
        <w:tc>
          <w:tcPr>
            <w:tcW w:type="dxa" w:w="2154"/>
            <w:shd w:fill="FFFFFF"/>
          </w:tcPr>
          <w:p>
            <w:pPr>
              <w:spacing w:after="0"/>
            </w:pPr>
            <w:r/>
            <w:r>
              <w:rPr>
                <w:rFonts w:ascii="Aptos" w:hAnsi="Aptos"/>
                <w:b w:val="0"/>
                <w:i w:val="0"/>
                <w:color w:val="1E252B"/>
                <w:sz w:val="16"/>
              </w:rPr>
              <w:t>USD 65M</w:t>
            </w:r>
          </w:p>
        </w:tc>
        <w:tc>
          <w:tcPr>
            <w:tcW w:type="dxa" w:w="2154"/>
            <w:shd w:fill="FFFFFF"/>
          </w:tcPr>
          <w:p>
            <w:pPr>
              <w:spacing w:after="0"/>
            </w:pPr>
            <w:r/>
            <w:r>
              <w:rPr>
                <w:rFonts w:ascii="Aptos" w:hAnsi="Aptos"/>
                <w:b w:val="0"/>
                <w:i w:val="0"/>
                <w:color w:val="1E252B"/>
                <w:sz w:val="16"/>
              </w:rPr>
              <w:t>USD 50M</w:t>
            </w:r>
          </w:p>
        </w:tc>
      </w:tr>
      <w:tr>
        <w:tc>
          <w:tcPr>
            <w:tcW w:type="dxa" w:w="2721"/>
            <w:shd w:fill="F3F6F8"/>
          </w:tcPr>
          <w:p>
            <w:pPr>
              <w:spacing w:after="0"/>
            </w:pPr>
            <w:r/>
            <w:r>
              <w:rPr>
                <w:rFonts w:ascii="Aptos" w:hAnsi="Aptos"/>
                <w:b w:val="0"/>
                <w:i w:val="0"/>
                <w:color w:val="1E252B"/>
                <w:sz w:val="16"/>
              </w:rPr>
              <w:t>Real discount rate</w:t>
            </w:r>
          </w:p>
        </w:tc>
        <w:tc>
          <w:tcPr>
            <w:tcW w:type="dxa" w:w="2154"/>
            <w:shd w:fill="F3F6F8"/>
          </w:tcPr>
          <w:p>
            <w:pPr>
              <w:spacing w:after="0"/>
            </w:pPr>
            <w:r/>
            <w:r>
              <w:rPr>
                <w:rFonts w:ascii="Aptos" w:hAnsi="Aptos"/>
                <w:b w:val="0"/>
                <w:i w:val="0"/>
                <w:color w:val="1E252B"/>
                <w:sz w:val="16"/>
              </w:rPr>
              <w:t>14%</w:t>
            </w:r>
          </w:p>
        </w:tc>
        <w:tc>
          <w:tcPr>
            <w:tcW w:type="dxa" w:w="2154"/>
            <w:shd w:fill="F3F6F8"/>
          </w:tcPr>
          <w:p>
            <w:pPr>
              <w:spacing w:after="0"/>
            </w:pPr>
            <w:r/>
            <w:r>
              <w:rPr>
                <w:rFonts w:ascii="Aptos" w:hAnsi="Aptos"/>
                <w:b w:val="0"/>
                <w:i w:val="0"/>
                <w:color w:val="1E252B"/>
                <w:sz w:val="16"/>
              </w:rPr>
              <w:t>18%</w:t>
            </w:r>
          </w:p>
        </w:tc>
        <w:tc>
          <w:tcPr>
            <w:tcW w:type="dxa" w:w="2154"/>
            <w:shd w:fill="F3F6F8"/>
          </w:tcPr>
          <w:p>
            <w:pPr>
              <w:spacing w:after="0"/>
            </w:pPr>
            <w:r/>
            <w:r>
              <w:rPr>
                <w:rFonts w:ascii="Aptos" w:hAnsi="Aptos"/>
                <w:b w:val="0"/>
                <w:i w:val="0"/>
                <w:color w:val="1E252B"/>
                <w:sz w:val="16"/>
              </w:rPr>
              <w:t>12%</w:t>
            </w:r>
          </w:p>
        </w:tc>
      </w:tr>
      <w:tr>
        <w:tc>
          <w:tcPr>
            <w:tcW w:type="dxa" w:w="2721"/>
            <w:shd w:fill="FFFFFF"/>
          </w:tcPr>
          <w:p>
            <w:pPr>
              <w:spacing w:after="0"/>
            </w:pPr>
            <w:r/>
            <w:r>
              <w:rPr>
                <w:rFonts w:ascii="Aptos" w:hAnsi="Aptos"/>
                <w:b w:val="0"/>
                <w:i w:val="0"/>
                <w:color w:val="1E252B"/>
                <w:sz w:val="16"/>
              </w:rPr>
              <w:t>Illustrative tax rate</w:t>
            </w:r>
          </w:p>
        </w:tc>
        <w:tc>
          <w:tcPr>
            <w:tcW w:type="dxa" w:w="2154"/>
            <w:shd w:fill="FFFFFF"/>
          </w:tcPr>
          <w:p>
            <w:pPr>
              <w:spacing w:after="0"/>
            </w:pPr>
            <w:r/>
            <w:r>
              <w:rPr>
                <w:rFonts w:ascii="Aptos" w:hAnsi="Aptos"/>
                <w:b w:val="0"/>
                <w:i w:val="0"/>
                <w:color w:val="1E252B"/>
                <w:sz w:val="16"/>
              </w:rPr>
              <w:t>35%</w:t>
            </w:r>
          </w:p>
        </w:tc>
        <w:tc>
          <w:tcPr>
            <w:tcW w:type="dxa" w:w="2154"/>
            <w:shd w:fill="FFFFFF"/>
          </w:tcPr>
          <w:p>
            <w:pPr>
              <w:spacing w:after="0"/>
            </w:pPr>
            <w:r/>
            <w:r>
              <w:rPr>
                <w:rFonts w:ascii="Aptos" w:hAnsi="Aptos"/>
                <w:b w:val="0"/>
                <w:i w:val="0"/>
                <w:color w:val="1E252B"/>
                <w:sz w:val="16"/>
              </w:rPr>
              <w:t>35%</w:t>
            </w:r>
          </w:p>
        </w:tc>
        <w:tc>
          <w:tcPr>
            <w:tcW w:type="dxa" w:w="2154"/>
            <w:shd w:fill="FFFFFF"/>
          </w:tcPr>
          <w:p>
            <w:pPr>
              <w:spacing w:after="0"/>
            </w:pPr>
            <w:r/>
            <w:r>
              <w:rPr>
                <w:rFonts w:ascii="Aptos" w:hAnsi="Aptos"/>
                <w:b w:val="0"/>
                <w:i w:val="0"/>
                <w:color w:val="1E252B"/>
                <w:sz w:val="16"/>
              </w:rPr>
              <w:t>35%</w:t>
            </w:r>
          </w:p>
        </w:tc>
      </w:tr>
    </w:tbl>
    <w:p/>
    <w:p>
      <w:pPr>
        <w:spacing w:after="120" w:line="271" w:lineRule="auto"/>
        <w:jc w:val="both"/>
      </w:pPr>
      <w:r>
        <w:rPr>
          <w:rFonts w:ascii="Aptos" w:hAnsi="Aptos"/>
          <w:b w:val="0"/>
          <w:i w:val="0"/>
          <w:color w:val="1E252B"/>
          <w:sz w:val="20"/>
        </w:rPr>
        <w:t>The base selling price assumes a premium B2B mix and is not suitable for a portfolio dominated by commodity feed. Variable cost includes ingredients, packaging, variable energy, internal logistics, consumables, and yield loss. Cash flows exclude VAT, origin-specific duties, debt, subsidies, and unconfirmed incentives.</w:t>
      </w:r>
    </w:p>
    <w:p>
      <w:r>
        <w:br w:type="page"/>
      </w:r>
    </w:p>
    <w:p>
      <w:pPr>
        <w:spacing w:after="60"/>
      </w:pPr>
      <w:r>
        <w:rPr>
          <w:rFonts w:ascii="Aptos" w:hAnsi="Aptos"/>
          <w:b/>
          <w:i w:val="0"/>
          <w:color w:val="C5A253"/>
          <w:sz w:val="17"/>
        </w:rPr>
        <w:t>BASE CASE</w:t>
      </w:r>
    </w:p>
    <w:p>
      <w:pPr>
        <w:spacing w:after="200"/>
      </w:pPr>
      <w:r>
        <w:rPr>
          <w:rFonts w:ascii="Aptos" w:hAnsi="Aptos"/>
          <w:b/>
          <w:i w:val="0"/>
          <w:color w:val="0B1F3A"/>
          <w:sz w:val="40"/>
        </w:rPr>
        <w:t>Indicative Financial Projection</w:t>
      </w:r>
    </w:p>
    <w:tbl>
      <w:tblPr>
        <w:tblW w:type="auto" w:w="0"/>
        <w:jc w:val="center"/>
        <w:tblLayout w:type="fixed"/>
        <w:tblLook w:firstColumn="1" w:firstRow="1" w:lastColumn="0" w:lastRow="0" w:noHBand="0" w:noVBand="1" w:val="04A0"/>
      </w:tblPr>
      <w:tblGrid>
        <w:gridCol w:w="1894"/>
        <w:gridCol w:w="1894"/>
        <w:gridCol w:w="1894"/>
        <w:gridCol w:w="1894"/>
        <w:gridCol w:w="1894"/>
      </w:tblGrid>
      <w:tr>
        <w:tc>
          <w:tcPr>
            <w:tcW w:type="dxa" w:w="1701"/>
            <w:shd w:fill="0B1F3A"/>
          </w:tcPr>
          <w:p>
            <w:pPr>
              <w:spacing w:after="0"/>
            </w:pPr>
            <w:r/>
            <w:r>
              <w:rPr>
                <w:rFonts w:ascii="Aptos" w:hAnsi="Aptos"/>
                <w:b/>
                <w:i w:val="0"/>
                <w:color w:val="FFFFFF"/>
                <w:sz w:val="16"/>
              </w:rPr>
              <w:t>Operating year</w:t>
            </w:r>
          </w:p>
        </w:tc>
        <w:tc>
          <w:tcPr>
            <w:tcW w:type="dxa" w:w="1814"/>
            <w:shd w:fill="0B1F3A"/>
          </w:tcPr>
          <w:p>
            <w:pPr>
              <w:spacing w:after="0"/>
            </w:pPr>
            <w:r/>
            <w:r>
              <w:rPr>
                <w:rFonts w:ascii="Aptos" w:hAnsi="Aptos"/>
                <w:b/>
                <w:i w:val="0"/>
                <w:color w:val="FFFFFF"/>
                <w:sz w:val="16"/>
              </w:rPr>
              <w:t>Volume t/y</w:t>
            </w:r>
          </w:p>
        </w:tc>
        <w:tc>
          <w:tcPr>
            <w:tcW w:type="dxa" w:w="1984"/>
            <w:shd w:fill="0B1F3A"/>
          </w:tcPr>
          <w:p>
            <w:pPr>
              <w:spacing w:after="0"/>
            </w:pPr>
            <w:r/>
            <w:r>
              <w:rPr>
                <w:rFonts w:ascii="Aptos" w:hAnsi="Aptos"/>
                <w:b/>
                <w:i w:val="0"/>
                <w:color w:val="FFFFFF"/>
                <w:sz w:val="16"/>
              </w:rPr>
              <w:t>Revenue USD M</w:t>
            </w:r>
          </w:p>
        </w:tc>
        <w:tc>
          <w:tcPr>
            <w:tcW w:type="dxa" w:w="1984"/>
            <w:shd w:fill="0B1F3A"/>
          </w:tcPr>
          <w:p>
            <w:pPr>
              <w:spacing w:after="0"/>
            </w:pPr>
            <w:r/>
            <w:r>
              <w:rPr>
                <w:rFonts w:ascii="Aptos" w:hAnsi="Aptos"/>
                <w:b/>
                <w:i w:val="0"/>
                <w:color w:val="FFFFFF"/>
                <w:sz w:val="16"/>
              </w:rPr>
              <w:t>EBITDA USD M</w:t>
            </w:r>
          </w:p>
        </w:tc>
        <w:tc>
          <w:tcPr>
            <w:tcW w:type="dxa" w:w="2494"/>
            <w:shd w:fill="0B1F3A"/>
          </w:tcPr>
          <w:p>
            <w:pPr>
              <w:spacing w:after="0"/>
            </w:pPr>
            <w:r/>
            <w:r>
              <w:rPr>
                <w:rFonts w:ascii="Aptos" w:hAnsi="Aptos"/>
                <w:b/>
                <w:i w:val="0"/>
                <w:color w:val="FFFFFF"/>
                <w:sz w:val="16"/>
              </w:rPr>
              <w:t>Indicative FCF USD M</w:t>
            </w:r>
          </w:p>
        </w:tc>
      </w:tr>
      <w:tr>
        <w:tc>
          <w:tcPr>
            <w:tcW w:type="dxa" w:w="1701"/>
            <w:shd w:fill="FFFFFF"/>
          </w:tcPr>
          <w:p>
            <w:pPr>
              <w:spacing w:after="0"/>
            </w:pPr>
            <w:r/>
            <w:r>
              <w:rPr>
                <w:rFonts w:ascii="Aptos" w:hAnsi="Aptos"/>
                <w:b w:val="0"/>
                <w:i w:val="0"/>
                <w:color w:val="1E252B"/>
                <w:sz w:val="16"/>
              </w:rPr>
              <w:t>1</w:t>
            </w:r>
          </w:p>
        </w:tc>
        <w:tc>
          <w:tcPr>
            <w:tcW w:type="dxa" w:w="1814"/>
            <w:shd w:fill="FFFFFF"/>
          </w:tcPr>
          <w:p>
            <w:pPr>
              <w:spacing w:after="0"/>
            </w:pPr>
            <w:r/>
            <w:r>
              <w:rPr>
                <w:rFonts w:ascii="Aptos" w:hAnsi="Aptos"/>
                <w:b w:val="0"/>
                <w:i w:val="0"/>
                <w:color w:val="1E252B"/>
                <w:sz w:val="16"/>
              </w:rPr>
              <w:t>12,000</w:t>
            </w:r>
          </w:p>
        </w:tc>
        <w:tc>
          <w:tcPr>
            <w:tcW w:type="dxa" w:w="1984"/>
            <w:shd w:fill="FFFFFF"/>
          </w:tcPr>
          <w:p>
            <w:pPr>
              <w:spacing w:after="0"/>
            </w:pPr>
            <w:r/>
            <w:r>
              <w:rPr>
                <w:rFonts w:ascii="Aptos" w:hAnsi="Aptos"/>
                <w:b w:val="0"/>
                <w:i w:val="0"/>
                <w:color w:val="1E252B"/>
                <w:sz w:val="16"/>
              </w:rPr>
              <w:t>13.4</w:t>
            </w:r>
          </w:p>
        </w:tc>
        <w:tc>
          <w:tcPr>
            <w:tcW w:type="dxa" w:w="1984"/>
            <w:shd w:fill="FFFFFF"/>
          </w:tcPr>
          <w:p>
            <w:pPr>
              <w:spacing w:after="0"/>
            </w:pPr>
            <w:r/>
            <w:r>
              <w:rPr>
                <w:rFonts w:ascii="Aptos" w:hAnsi="Aptos"/>
                <w:b w:val="0"/>
                <w:i w:val="0"/>
                <w:color w:val="1E252B"/>
                <w:sz w:val="16"/>
              </w:rPr>
              <w:t>0.5</w:t>
            </w:r>
          </w:p>
        </w:tc>
        <w:tc>
          <w:tcPr>
            <w:tcW w:type="dxa" w:w="2494"/>
            <w:shd w:fill="FFFFFF"/>
          </w:tcPr>
          <w:p>
            <w:pPr>
              <w:spacing w:after="0"/>
            </w:pPr>
            <w:r/>
            <w:r>
              <w:rPr>
                <w:rFonts w:ascii="Aptos" w:hAnsi="Aptos"/>
                <w:b w:val="0"/>
                <w:i w:val="0"/>
                <w:color w:val="1E252B"/>
                <w:sz w:val="16"/>
              </w:rPr>
              <w:t>-4.1</w:t>
            </w:r>
          </w:p>
        </w:tc>
      </w:tr>
      <w:tr>
        <w:tc>
          <w:tcPr>
            <w:tcW w:type="dxa" w:w="1701"/>
            <w:shd w:fill="F3F6F8"/>
          </w:tcPr>
          <w:p>
            <w:pPr>
              <w:spacing w:after="0"/>
            </w:pPr>
            <w:r/>
            <w:r>
              <w:rPr>
                <w:rFonts w:ascii="Aptos" w:hAnsi="Aptos"/>
                <w:b w:val="0"/>
                <w:i w:val="0"/>
                <w:color w:val="1E252B"/>
                <w:sz w:val="16"/>
              </w:rPr>
              <w:t>2</w:t>
            </w:r>
          </w:p>
        </w:tc>
        <w:tc>
          <w:tcPr>
            <w:tcW w:type="dxa" w:w="1814"/>
            <w:shd w:fill="F3F6F8"/>
          </w:tcPr>
          <w:p>
            <w:pPr>
              <w:spacing w:after="0"/>
            </w:pPr>
            <w:r/>
            <w:r>
              <w:rPr>
                <w:rFonts w:ascii="Aptos" w:hAnsi="Aptos"/>
                <w:b w:val="0"/>
                <w:i w:val="0"/>
                <w:color w:val="1E252B"/>
                <w:sz w:val="16"/>
              </w:rPr>
              <w:t>22,500</w:t>
            </w:r>
          </w:p>
        </w:tc>
        <w:tc>
          <w:tcPr>
            <w:tcW w:type="dxa" w:w="1984"/>
            <w:shd w:fill="F3F6F8"/>
          </w:tcPr>
          <w:p>
            <w:pPr>
              <w:spacing w:after="0"/>
            </w:pPr>
            <w:r/>
            <w:r>
              <w:rPr>
                <w:rFonts w:ascii="Aptos" w:hAnsi="Aptos"/>
                <w:b w:val="0"/>
                <w:i w:val="0"/>
                <w:color w:val="1E252B"/>
                <w:sz w:val="16"/>
              </w:rPr>
              <w:t>25.2</w:t>
            </w:r>
          </w:p>
        </w:tc>
        <w:tc>
          <w:tcPr>
            <w:tcW w:type="dxa" w:w="1984"/>
            <w:shd w:fill="F3F6F8"/>
          </w:tcPr>
          <w:p>
            <w:pPr>
              <w:spacing w:after="0"/>
            </w:pPr>
            <w:r/>
            <w:r>
              <w:rPr>
                <w:rFonts w:ascii="Aptos" w:hAnsi="Aptos"/>
                <w:b w:val="0"/>
                <w:i w:val="0"/>
                <w:color w:val="1E252B"/>
                <w:sz w:val="16"/>
              </w:rPr>
              <w:t>4.3</w:t>
            </w:r>
          </w:p>
        </w:tc>
        <w:tc>
          <w:tcPr>
            <w:tcW w:type="dxa" w:w="2494"/>
            <w:shd w:fill="F3F6F8"/>
          </w:tcPr>
          <w:p>
            <w:pPr>
              <w:spacing w:after="0"/>
            </w:pPr>
            <w:r/>
            <w:r>
              <w:rPr>
                <w:rFonts w:ascii="Aptos" w:hAnsi="Aptos"/>
                <w:b w:val="0"/>
                <w:i w:val="0"/>
                <w:color w:val="1E252B"/>
                <w:sz w:val="16"/>
              </w:rPr>
              <w:t>1.2</w:t>
            </w:r>
          </w:p>
        </w:tc>
      </w:tr>
      <w:tr>
        <w:tc>
          <w:tcPr>
            <w:tcW w:type="dxa" w:w="1701"/>
            <w:shd w:fill="FFFFFF"/>
          </w:tcPr>
          <w:p>
            <w:pPr>
              <w:spacing w:after="0"/>
            </w:pPr>
            <w:r/>
            <w:r>
              <w:rPr>
                <w:rFonts w:ascii="Aptos" w:hAnsi="Aptos"/>
                <w:b w:val="0"/>
                <w:i w:val="0"/>
                <w:color w:val="1E252B"/>
                <w:sz w:val="16"/>
              </w:rPr>
              <w:t>3</w:t>
            </w:r>
          </w:p>
        </w:tc>
        <w:tc>
          <w:tcPr>
            <w:tcW w:type="dxa" w:w="1814"/>
            <w:shd w:fill="FFFFFF"/>
          </w:tcPr>
          <w:p>
            <w:pPr>
              <w:spacing w:after="0"/>
            </w:pPr>
            <w:r/>
            <w:r>
              <w:rPr>
                <w:rFonts w:ascii="Aptos" w:hAnsi="Aptos"/>
                <w:b w:val="0"/>
                <w:i w:val="0"/>
                <w:color w:val="1E252B"/>
                <w:sz w:val="16"/>
              </w:rPr>
              <w:t>28,500</w:t>
            </w:r>
          </w:p>
        </w:tc>
        <w:tc>
          <w:tcPr>
            <w:tcW w:type="dxa" w:w="1984"/>
            <w:shd w:fill="FFFFFF"/>
          </w:tcPr>
          <w:p>
            <w:pPr>
              <w:spacing w:after="0"/>
            </w:pPr>
            <w:r/>
            <w:r>
              <w:rPr>
                <w:rFonts w:ascii="Aptos" w:hAnsi="Aptos"/>
                <w:b w:val="0"/>
                <w:i w:val="0"/>
                <w:color w:val="1E252B"/>
                <w:sz w:val="16"/>
              </w:rPr>
              <w:t>31.9</w:t>
            </w:r>
          </w:p>
        </w:tc>
        <w:tc>
          <w:tcPr>
            <w:tcW w:type="dxa" w:w="1984"/>
            <w:shd w:fill="FFFFFF"/>
          </w:tcPr>
          <w:p>
            <w:pPr>
              <w:spacing w:after="0"/>
            </w:pPr>
            <w:r/>
            <w:r>
              <w:rPr>
                <w:rFonts w:ascii="Aptos" w:hAnsi="Aptos"/>
                <w:b w:val="0"/>
                <w:i w:val="0"/>
                <w:color w:val="1E252B"/>
                <w:sz w:val="16"/>
              </w:rPr>
              <w:t>8.6</w:t>
            </w:r>
          </w:p>
        </w:tc>
        <w:tc>
          <w:tcPr>
            <w:tcW w:type="dxa" w:w="2494"/>
            <w:shd w:fill="FFFFFF"/>
          </w:tcPr>
          <w:p>
            <w:pPr>
              <w:spacing w:after="0"/>
            </w:pPr>
            <w:r/>
            <w:r>
              <w:rPr>
                <w:rFonts w:ascii="Aptos" w:hAnsi="Aptos"/>
                <w:b w:val="0"/>
                <w:i w:val="0"/>
                <w:color w:val="1E252B"/>
                <w:sz w:val="16"/>
              </w:rPr>
              <w:t>5.7</w:t>
            </w:r>
          </w:p>
        </w:tc>
      </w:tr>
      <w:tr>
        <w:tc>
          <w:tcPr>
            <w:tcW w:type="dxa" w:w="1701"/>
            <w:shd w:fill="F3F6F8"/>
          </w:tcPr>
          <w:p>
            <w:pPr>
              <w:spacing w:after="0"/>
            </w:pPr>
            <w:r/>
            <w:r>
              <w:rPr>
                <w:rFonts w:ascii="Aptos" w:hAnsi="Aptos"/>
                <w:b w:val="0"/>
                <w:i w:val="0"/>
                <w:color w:val="1E252B"/>
                <w:sz w:val="16"/>
              </w:rPr>
              <w:t>4</w:t>
            </w:r>
          </w:p>
        </w:tc>
        <w:tc>
          <w:tcPr>
            <w:tcW w:type="dxa" w:w="1814"/>
            <w:shd w:fill="F3F6F8"/>
          </w:tcPr>
          <w:p>
            <w:pPr>
              <w:spacing w:after="0"/>
            </w:pPr>
            <w:r/>
            <w:r>
              <w:rPr>
                <w:rFonts w:ascii="Aptos" w:hAnsi="Aptos"/>
                <w:b w:val="0"/>
                <w:i w:val="0"/>
                <w:color w:val="1E252B"/>
                <w:sz w:val="16"/>
              </w:rPr>
              <w:t>30,000</w:t>
            </w:r>
          </w:p>
        </w:tc>
        <w:tc>
          <w:tcPr>
            <w:tcW w:type="dxa" w:w="1984"/>
            <w:shd w:fill="F3F6F8"/>
          </w:tcPr>
          <w:p>
            <w:pPr>
              <w:spacing w:after="0"/>
            </w:pPr>
            <w:r/>
            <w:r>
              <w:rPr>
                <w:rFonts w:ascii="Aptos" w:hAnsi="Aptos"/>
                <w:b w:val="0"/>
                <w:i w:val="0"/>
                <w:color w:val="1E252B"/>
                <w:sz w:val="16"/>
              </w:rPr>
              <w:t>33.6</w:t>
            </w:r>
          </w:p>
        </w:tc>
        <w:tc>
          <w:tcPr>
            <w:tcW w:type="dxa" w:w="1984"/>
            <w:shd w:fill="F3F6F8"/>
          </w:tcPr>
          <w:p>
            <w:pPr>
              <w:spacing w:after="0"/>
            </w:pPr>
            <w:r/>
            <w:r>
              <w:rPr>
                <w:rFonts w:ascii="Aptos" w:hAnsi="Aptos"/>
                <w:b w:val="0"/>
                <w:i w:val="0"/>
                <w:color w:val="1E252B"/>
                <w:sz w:val="16"/>
              </w:rPr>
              <w:t>8.7</w:t>
            </w:r>
          </w:p>
        </w:tc>
        <w:tc>
          <w:tcPr>
            <w:tcW w:type="dxa" w:w="2494"/>
            <w:shd w:fill="F3F6F8"/>
          </w:tcPr>
          <w:p>
            <w:pPr>
              <w:spacing w:after="0"/>
            </w:pPr>
            <w:r/>
            <w:r>
              <w:rPr>
                <w:rFonts w:ascii="Aptos" w:hAnsi="Aptos"/>
                <w:b w:val="0"/>
                <w:i w:val="0"/>
                <w:color w:val="1E252B"/>
                <w:sz w:val="16"/>
              </w:rPr>
              <w:t>-15.5</w:t>
            </w:r>
          </w:p>
        </w:tc>
      </w:tr>
      <w:tr>
        <w:tc>
          <w:tcPr>
            <w:tcW w:type="dxa" w:w="1701"/>
            <w:shd w:fill="FFFFFF"/>
          </w:tcPr>
          <w:p>
            <w:pPr>
              <w:spacing w:after="0"/>
            </w:pPr>
            <w:r/>
            <w:r>
              <w:rPr>
                <w:rFonts w:ascii="Aptos" w:hAnsi="Aptos"/>
                <w:b w:val="0"/>
                <w:i w:val="0"/>
                <w:color w:val="1E252B"/>
                <w:sz w:val="16"/>
              </w:rPr>
              <w:t>5</w:t>
            </w:r>
          </w:p>
        </w:tc>
        <w:tc>
          <w:tcPr>
            <w:tcW w:type="dxa" w:w="1814"/>
            <w:shd w:fill="FFFFFF"/>
          </w:tcPr>
          <w:p>
            <w:pPr>
              <w:spacing w:after="0"/>
            </w:pPr>
            <w:r/>
            <w:r>
              <w:rPr>
                <w:rFonts w:ascii="Aptos" w:hAnsi="Aptos"/>
                <w:b w:val="0"/>
                <w:i w:val="0"/>
                <w:color w:val="1E252B"/>
                <w:sz w:val="16"/>
              </w:rPr>
              <w:t>42,000</w:t>
            </w:r>
          </w:p>
        </w:tc>
        <w:tc>
          <w:tcPr>
            <w:tcW w:type="dxa" w:w="1984"/>
            <w:shd w:fill="FFFFFF"/>
          </w:tcPr>
          <w:p>
            <w:pPr>
              <w:spacing w:after="0"/>
            </w:pPr>
            <w:r/>
            <w:r>
              <w:rPr>
                <w:rFonts w:ascii="Aptos" w:hAnsi="Aptos"/>
                <w:b w:val="0"/>
                <w:i w:val="0"/>
                <w:color w:val="1E252B"/>
                <w:sz w:val="16"/>
              </w:rPr>
              <w:t>47.0</w:t>
            </w:r>
          </w:p>
        </w:tc>
        <w:tc>
          <w:tcPr>
            <w:tcW w:type="dxa" w:w="1984"/>
            <w:shd w:fill="FFFFFF"/>
          </w:tcPr>
          <w:p>
            <w:pPr>
              <w:spacing w:after="0"/>
            </w:pPr>
            <w:r/>
            <w:r>
              <w:rPr>
                <w:rFonts w:ascii="Aptos" w:hAnsi="Aptos"/>
                <w:b w:val="0"/>
                <w:i w:val="0"/>
                <w:color w:val="1E252B"/>
                <w:sz w:val="16"/>
              </w:rPr>
              <w:t>13.4</w:t>
            </w:r>
          </w:p>
        </w:tc>
        <w:tc>
          <w:tcPr>
            <w:tcW w:type="dxa" w:w="2494"/>
            <w:shd w:fill="FFFFFF"/>
          </w:tcPr>
          <w:p>
            <w:pPr>
              <w:spacing w:after="0"/>
            </w:pPr>
            <w:r/>
            <w:r>
              <w:rPr>
                <w:rFonts w:ascii="Aptos" w:hAnsi="Aptos"/>
                <w:b w:val="0"/>
                <w:i w:val="0"/>
                <w:color w:val="1E252B"/>
                <w:sz w:val="16"/>
              </w:rPr>
              <w:t>7.6</w:t>
            </w:r>
          </w:p>
        </w:tc>
      </w:tr>
      <w:tr>
        <w:tc>
          <w:tcPr>
            <w:tcW w:type="dxa" w:w="1701"/>
            <w:shd w:fill="F3F6F8"/>
          </w:tcPr>
          <w:p>
            <w:pPr>
              <w:spacing w:after="0"/>
            </w:pPr>
            <w:r/>
            <w:r>
              <w:rPr>
                <w:rFonts w:ascii="Aptos" w:hAnsi="Aptos"/>
                <w:b w:val="0"/>
                <w:i w:val="0"/>
                <w:color w:val="1E252B"/>
                <w:sz w:val="16"/>
              </w:rPr>
              <w:t>6</w:t>
            </w:r>
          </w:p>
        </w:tc>
        <w:tc>
          <w:tcPr>
            <w:tcW w:type="dxa" w:w="1814"/>
            <w:shd w:fill="F3F6F8"/>
          </w:tcPr>
          <w:p>
            <w:pPr>
              <w:spacing w:after="0"/>
            </w:pPr>
            <w:r/>
            <w:r>
              <w:rPr>
                <w:rFonts w:ascii="Aptos" w:hAnsi="Aptos"/>
                <w:b w:val="0"/>
                <w:i w:val="0"/>
                <w:color w:val="1E252B"/>
                <w:sz w:val="16"/>
              </w:rPr>
              <w:t>55,000</w:t>
            </w:r>
          </w:p>
        </w:tc>
        <w:tc>
          <w:tcPr>
            <w:tcW w:type="dxa" w:w="1984"/>
            <w:shd w:fill="F3F6F8"/>
          </w:tcPr>
          <w:p>
            <w:pPr>
              <w:spacing w:after="0"/>
            </w:pPr>
            <w:r/>
            <w:r>
              <w:rPr>
                <w:rFonts w:ascii="Aptos" w:hAnsi="Aptos"/>
                <w:b w:val="0"/>
                <w:i w:val="0"/>
                <w:color w:val="1E252B"/>
                <w:sz w:val="16"/>
              </w:rPr>
              <w:t>61.6</w:t>
            </w:r>
          </w:p>
        </w:tc>
        <w:tc>
          <w:tcPr>
            <w:tcW w:type="dxa" w:w="1984"/>
            <w:shd w:fill="F3F6F8"/>
          </w:tcPr>
          <w:p>
            <w:pPr>
              <w:spacing w:after="0"/>
            </w:pPr>
            <w:r/>
            <w:r>
              <w:rPr>
                <w:rFonts w:ascii="Aptos" w:hAnsi="Aptos"/>
                <w:b w:val="0"/>
                <w:i w:val="0"/>
                <w:color w:val="1E252B"/>
                <w:sz w:val="16"/>
              </w:rPr>
              <w:t>19.1</w:t>
            </w:r>
          </w:p>
        </w:tc>
        <w:tc>
          <w:tcPr>
            <w:tcW w:type="dxa" w:w="2494"/>
            <w:shd w:fill="F3F6F8"/>
          </w:tcPr>
          <w:p>
            <w:pPr>
              <w:spacing w:after="0"/>
            </w:pPr>
            <w:r/>
            <w:r>
              <w:rPr>
                <w:rFonts w:ascii="Aptos" w:hAnsi="Aptos"/>
                <w:b w:val="0"/>
                <w:i w:val="0"/>
                <w:color w:val="1E252B"/>
                <w:sz w:val="16"/>
              </w:rPr>
              <w:t>11.7</w:t>
            </w:r>
          </w:p>
        </w:tc>
      </w:tr>
      <w:tr>
        <w:tc>
          <w:tcPr>
            <w:tcW w:type="dxa" w:w="1701"/>
            <w:shd w:fill="FFFFFF"/>
          </w:tcPr>
          <w:p>
            <w:pPr>
              <w:spacing w:after="0"/>
            </w:pPr>
            <w:r/>
            <w:r>
              <w:rPr>
                <w:rFonts w:ascii="Aptos" w:hAnsi="Aptos"/>
                <w:b w:val="0"/>
                <w:i w:val="0"/>
                <w:color w:val="1E252B"/>
                <w:sz w:val="16"/>
              </w:rPr>
              <w:t>7</w:t>
            </w:r>
          </w:p>
        </w:tc>
        <w:tc>
          <w:tcPr>
            <w:tcW w:type="dxa" w:w="1814"/>
            <w:shd w:fill="FFFFFF"/>
          </w:tcPr>
          <w:p>
            <w:pPr>
              <w:spacing w:after="0"/>
            </w:pPr>
            <w:r/>
            <w:r>
              <w:rPr>
                <w:rFonts w:ascii="Aptos" w:hAnsi="Aptos"/>
                <w:b w:val="0"/>
                <w:i w:val="0"/>
                <w:color w:val="1E252B"/>
                <w:sz w:val="16"/>
              </w:rPr>
              <w:t>61,000</w:t>
            </w:r>
          </w:p>
        </w:tc>
        <w:tc>
          <w:tcPr>
            <w:tcW w:type="dxa" w:w="1984"/>
            <w:shd w:fill="FFFFFF"/>
          </w:tcPr>
          <w:p>
            <w:pPr>
              <w:spacing w:after="0"/>
            </w:pPr>
            <w:r/>
            <w:r>
              <w:rPr>
                <w:rFonts w:ascii="Aptos" w:hAnsi="Aptos"/>
                <w:b w:val="0"/>
                <w:i w:val="0"/>
                <w:color w:val="1E252B"/>
                <w:sz w:val="16"/>
              </w:rPr>
              <w:t>68.3</w:t>
            </w:r>
          </w:p>
        </w:tc>
        <w:tc>
          <w:tcPr>
            <w:tcW w:type="dxa" w:w="1984"/>
            <w:shd w:fill="FFFFFF"/>
          </w:tcPr>
          <w:p>
            <w:pPr>
              <w:spacing w:after="0"/>
            </w:pPr>
            <w:r/>
            <w:r>
              <w:rPr>
                <w:rFonts w:ascii="Aptos" w:hAnsi="Aptos"/>
                <w:b w:val="0"/>
                <w:i w:val="0"/>
                <w:color w:val="1E252B"/>
                <w:sz w:val="16"/>
              </w:rPr>
              <w:t>21.5</w:t>
            </w:r>
          </w:p>
        </w:tc>
        <w:tc>
          <w:tcPr>
            <w:tcW w:type="dxa" w:w="2494"/>
            <w:shd w:fill="FFFFFF"/>
          </w:tcPr>
          <w:p>
            <w:pPr>
              <w:spacing w:after="0"/>
            </w:pPr>
            <w:r/>
            <w:r>
              <w:rPr>
                <w:rFonts w:ascii="Aptos" w:hAnsi="Aptos"/>
                <w:b w:val="0"/>
                <w:i w:val="0"/>
                <w:color w:val="1E252B"/>
                <w:sz w:val="16"/>
              </w:rPr>
              <w:t>13.4</w:t>
            </w:r>
          </w:p>
        </w:tc>
      </w:tr>
      <w:tr>
        <w:tc>
          <w:tcPr>
            <w:tcW w:type="dxa" w:w="1701"/>
            <w:shd w:fill="F3F6F8"/>
          </w:tcPr>
          <w:p>
            <w:pPr>
              <w:spacing w:after="0"/>
            </w:pPr>
            <w:r/>
            <w:r>
              <w:rPr>
                <w:rFonts w:ascii="Aptos" w:hAnsi="Aptos"/>
                <w:b w:val="0"/>
                <w:i w:val="0"/>
                <w:color w:val="1E252B"/>
                <w:sz w:val="16"/>
              </w:rPr>
              <w:t>8</w:t>
            </w:r>
          </w:p>
        </w:tc>
        <w:tc>
          <w:tcPr>
            <w:tcW w:type="dxa" w:w="1814"/>
            <w:shd w:fill="F3F6F8"/>
          </w:tcPr>
          <w:p>
            <w:pPr>
              <w:spacing w:after="0"/>
            </w:pPr>
            <w:r/>
            <w:r>
              <w:rPr>
                <w:rFonts w:ascii="Aptos" w:hAnsi="Aptos"/>
                <w:b w:val="0"/>
                <w:i w:val="0"/>
                <w:color w:val="1E252B"/>
                <w:sz w:val="16"/>
              </w:rPr>
              <w:t>65,000</w:t>
            </w:r>
          </w:p>
        </w:tc>
        <w:tc>
          <w:tcPr>
            <w:tcW w:type="dxa" w:w="1984"/>
            <w:shd w:fill="F3F6F8"/>
          </w:tcPr>
          <w:p>
            <w:pPr>
              <w:spacing w:after="0"/>
            </w:pPr>
            <w:r/>
            <w:r>
              <w:rPr>
                <w:rFonts w:ascii="Aptos" w:hAnsi="Aptos"/>
                <w:b w:val="0"/>
                <w:i w:val="0"/>
                <w:color w:val="1E252B"/>
                <w:sz w:val="16"/>
              </w:rPr>
              <w:t>72.8</w:t>
            </w:r>
          </w:p>
        </w:tc>
        <w:tc>
          <w:tcPr>
            <w:tcW w:type="dxa" w:w="1984"/>
            <w:shd w:fill="F3F6F8"/>
          </w:tcPr>
          <w:p>
            <w:pPr>
              <w:spacing w:after="0"/>
            </w:pPr>
            <w:r/>
            <w:r>
              <w:rPr>
                <w:rFonts w:ascii="Aptos" w:hAnsi="Aptos"/>
                <w:b w:val="0"/>
                <w:i w:val="0"/>
                <w:color w:val="1E252B"/>
                <w:sz w:val="16"/>
              </w:rPr>
              <w:t>23.1</w:t>
            </w:r>
          </w:p>
        </w:tc>
        <w:tc>
          <w:tcPr>
            <w:tcW w:type="dxa" w:w="2494"/>
            <w:shd w:fill="F3F6F8"/>
          </w:tcPr>
          <w:p>
            <w:pPr>
              <w:spacing w:after="0"/>
            </w:pPr>
            <w:r/>
            <w:r>
              <w:rPr>
                <w:rFonts w:ascii="Aptos" w:hAnsi="Aptos"/>
                <w:b w:val="0"/>
                <w:i w:val="0"/>
                <w:color w:val="1E252B"/>
                <w:sz w:val="16"/>
              </w:rPr>
              <w:t>14.3</w:t>
            </w:r>
          </w:p>
        </w:tc>
      </w:tr>
      <w:tr>
        <w:tc>
          <w:tcPr>
            <w:tcW w:type="dxa" w:w="1701"/>
            <w:shd w:fill="FFFFFF"/>
          </w:tcPr>
          <w:p>
            <w:pPr>
              <w:spacing w:after="0"/>
            </w:pPr>
            <w:r/>
            <w:r>
              <w:rPr>
                <w:rFonts w:ascii="Aptos" w:hAnsi="Aptos"/>
                <w:b w:val="0"/>
                <w:i w:val="0"/>
                <w:color w:val="1E252B"/>
                <w:sz w:val="16"/>
              </w:rPr>
              <w:t>9–12</w:t>
            </w:r>
          </w:p>
        </w:tc>
        <w:tc>
          <w:tcPr>
            <w:tcW w:type="dxa" w:w="1814"/>
            <w:shd w:fill="FFFFFF"/>
          </w:tcPr>
          <w:p>
            <w:pPr>
              <w:spacing w:after="0"/>
            </w:pPr>
            <w:r/>
            <w:r>
              <w:rPr>
                <w:rFonts w:ascii="Aptos" w:hAnsi="Aptos"/>
                <w:b w:val="0"/>
                <w:i w:val="0"/>
                <w:color w:val="1E252B"/>
                <w:sz w:val="16"/>
              </w:rPr>
              <w:t>65,000</w:t>
            </w:r>
          </w:p>
        </w:tc>
        <w:tc>
          <w:tcPr>
            <w:tcW w:type="dxa" w:w="1984"/>
            <w:shd w:fill="FFFFFF"/>
          </w:tcPr>
          <w:p>
            <w:pPr>
              <w:spacing w:after="0"/>
            </w:pPr>
            <w:r/>
            <w:r>
              <w:rPr>
                <w:rFonts w:ascii="Aptos" w:hAnsi="Aptos"/>
                <w:b w:val="0"/>
                <w:i w:val="0"/>
                <w:color w:val="1E252B"/>
                <w:sz w:val="16"/>
              </w:rPr>
              <w:t>72.8</w:t>
            </w:r>
          </w:p>
        </w:tc>
        <w:tc>
          <w:tcPr>
            <w:tcW w:type="dxa" w:w="1984"/>
            <w:shd w:fill="FFFFFF"/>
          </w:tcPr>
          <w:p>
            <w:pPr>
              <w:spacing w:after="0"/>
            </w:pPr>
            <w:r/>
            <w:r>
              <w:rPr>
                <w:rFonts w:ascii="Aptos" w:hAnsi="Aptos"/>
                <w:b w:val="0"/>
                <w:i w:val="0"/>
                <w:color w:val="1E252B"/>
                <w:sz w:val="16"/>
              </w:rPr>
              <w:t>22.7–23.0</w:t>
            </w:r>
          </w:p>
        </w:tc>
        <w:tc>
          <w:tcPr>
            <w:tcW w:type="dxa" w:w="2494"/>
            <w:shd w:fill="FFFFFF"/>
          </w:tcPr>
          <w:p>
            <w:pPr>
              <w:spacing w:after="0"/>
            </w:pPr>
            <w:r/>
            <w:r>
              <w:rPr>
                <w:rFonts w:ascii="Aptos" w:hAnsi="Aptos"/>
                <w:b w:val="0"/>
                <w:i w:val="0"/>
                <w:color w:val="1E252B"/>
                <w:sz w:val="16"/>
              </w:rPr>
              <w:t>14.1–25.0</w:t>
            </w:r>
          </w:p>
        </w:tc>
      </w:tr>
    </w:tbl>
    <w:p/>
    <w:p>
      <w:pPr>
        <w:spacing w:after="120" w:line="271" w:lineRule="auto"/>
        <w:jc w:val="both"/>
      </w:pPr>
      <w:r>
        <w:rPr>
          <w:rFonts w:ascii="Aptos" w:hAnsi="Aptos"/>
          <w:b w:val="0"/>
          <w:i w:val="0"/>
          <w:color w:val="1E252B"/>
          <w:sz w:val="20"/>
        </w:rPr>
        <w:t>Under the stated assumptions, the base case yields an indicative 15.3% real unlevered IRR and USD 3.34 million NPV at a 14% real discount rate. This is a coherence test, not a closed valuation. Debt may enhance or destroy equity returns depending on pricing, grace period, currency, amortization, security, and covenants.</w:t>
      </w:r>
    </w:p>
    <w:p>
      <w:r>
        <w:br w:type="page"/>
      </w:r>
    </w:p>
    <w:p>
      <w:pPr>
        <w:spacing w:after="60"/>
      </w:pPr>
      <w:r>
        <w:rPr>
          <w:rFonts w:ascii="Aptos" w:hAnsi="Aptos"/>
          <w:b/>
          <w:i w:val="0"/>
          <w:color w:val="C5A253"/>
          <w:sz w:val="17"/>
        </w:rPr>
        <w:t>FINANCIAL RISK</w:t>
      </w:r>
    </w:p>
    <w:p>
      <w:pPr>
        <w:spacing w:after="200"/>
      </w:pPr>
      <w:r>
        <w:rPr>
          <w:rFonts w:ascii="Aptos" w:hAnsi="Aptos"/>
          <w:b/>
          <w:i w:val="0"/>
          <w:color w:val="0B1F3A"/>
          <w:sz w:val="40"/>
        </w:rPr>
        <w:t>Sensitivity and Break-Even</w:t>
      </w:r>
    </w:p>
    <w:tbl>
      <w:tblPr>
        <w:tblW w:type="auto" w:w="0"/>
        <w:jc w:val="center"/>
        <w:tblLayout w:type="fixed"/>
        <w:tblLook w:firstColumn="1" w:firstRow="1" w:lastColumn="0" w:lastRow="0" w:noHBand="0" w:noVBand="1" w:val="04A0"/>
      </w:tblPr>
      <w:tblGrid>
        <w:gridCol w:w="1578"/>
        <w:gridCol w:w="1578"/>
        <w:gridCol w:w="1578"/>
        <w:gridCol w:w="1578"/>
        <w:gridCol w:w="1578"/>
        <w:gridCol w:w="1578"/>
      </w:tblGrid>
      <w:tr>
        <w:tc>
          <w:tcPr>
            <w:tcW w:type="dxa" w:w="2268"/>
            <w:shd w:fill="0B1F3A"/>
          </w:tcPr>
          <w:p>
            <w:pPr>
              <w:spacing w:after="0"/>
            </w:pPr>
            <w:r/>
            <w:r>
              <w:rPr>
                <w:rFonts w:ascii="Aptos" w:hAnsi="Aptos"/>
                <w:b/>
                <w:i w:val="0"/>
                <w:color w:val="FFFFFF"/>
                <w:sz w:val="16"/>
              </w:rPr>
              <w:t>Price / variable cost</w:t>
            </w:r>
          </w:p>
        </w:tc>
        <w:tc>
          <w:tcPr>
            <w:tcW w:type="dxa" w:w="1474"/>
            <w:shd w:fill="0B1F3A"/>
          </w:tcPr>
          <w:p>
            <w:pPr>
              <w:spacing w:after="0"/>
            </w:pPr>
            <w:r/>
            <w:r>
              <w:rPr>
                <w:rFonts w:ascii="Aptos" w:hAnsi="Aptos"/>
                <w:b/>
                <w:i w:val="0"/>
                <w:color w:val="FFFFFF"/>
                <w:sz w:val="16"/>
              </w:rPr>
              <w:t>USD 590/t</w:t>
            </w:r>
          </w:p>
        </w:tc>
        <w:tc>
          <w:tcPr>
            <w:tcW w:type="dxa" w:w="1474"/>
            <w:shd w:fill="0B1F3A"/>
          </w:tcPr>
          <w:p>
            <w:pPr>
              <w:spacing w:after="0"/>
            </w:pPr>
            <w:r/>
            <w:r>
              <w:rPr>
                <w:rFonts w:ascii="Aptos" w:hAnsi="Aptos"/>
                <w:b/>
                <w:i w:val="0"/>
                <w:color w:val="FFFFFF"/>
                <w:sz w:val="16"/>
              </w:rPr>
              <w:t>USD 620/t</w:t>
            </w:r>
          </w:p>
        </w:tc>
        <w:tc>
          <w:tcPr>
            <w:tcW w:type="dxa" w:w="1474"/>
            <w:shd w:fill="0B1F3A"/>
          </w:tcPr>
          <w:p>
            <w:pPr>
              <w:spacing w:after="0"/>
            </w:pPr>
            <w:r/>
            <w:r>
              <w:rPr>
                <w:rFonts w:ascii="Aptos" w:hAnsi="Aptos"/>
                <w:b/>
                <w:i w:val="0"/>
                <w:color w:val="FFFFFF"/>
                <w:sz w:val="16"/>
              </w:rPr>
              <w:t>USD 650/t</w:t>
            </w:r>
          </w:p>
        </w:tc>
        <w:tc>
          <w:tcPr>
            <w:tcW w:type="dxa" w:w="1474"/>
            <w:shd w:fill="0B1F3A"/>
          </w:tcPr>
          <w:p>
            <w:pPr>
              <w:spacing w:after="0"/>
            </w:pPr>
            <w:r/>
            <w:r>
              <w:rPr>
                <w:rFonts w:ascii="Aptos" w:hAnsi="Aptos"/>
                <w:b/>
                <w:i w:val="0"/>
                <w:color w:val="FFFFFF"/>
                <w:sz w:val="16"/>
              </w:rPr>
              <w:t>USD 680/t</w:t>
            </w:r>
          </w:p>
        </w:tc>
        <w:tc>
          <w:tcPr>
            <w:tcW w:type="dxa" w:w="1474"/>
            <w:shd w:fill="0B1F3A"/>
          </w:tcPr>
          <w:p>
            <w:pPr>
              <w:spacing w:after="0"/>
            </w:pPr>
            <w:r/>
            <w:r>
              <w:rPr>
                <w:rFonts w:ascii="Aptos" w:hAnsi="Aptos"/>
                <w:b/>
                <w:i w:val="0"/>
                <w:color w:val="FFFFFF"/>
                <w:sz w:val="16"/>
              </w:rPr>
              <w:t>USD 720/t</w:t>
            </w:r>
          </w:p>
        </w:tc>
      </w:tr>
      <w:tr>
        <w:tc>
          <w:tcPr>
            <w:tcW w:type="dxa" w:w="2268"/>
            <w:shd w:fill="FFFFFF"/>
          </w:tcPr>
          <w:p>
            <w:pPr>
              <w:spacing w:after="0"/>
            </w:pPr>
            <w:r/>
            <w:r>
              <w:rPr>
                <w:rFonts w:ascii="Aptos" w:hAnsi="Aptos"/>
                <w:b w:val="0"/>
                <w:i w:val="0"/>
                <w:color w:val="1E252B"/>
                <w:sz w:val="16"/>
              </w:rPr>
              <w:t>USD 950/t</w:t>
            </w:r>
          </w:p>
        </w:tc>
        <w:tc>
          <w:tcPr>
            <w:tcW w:type="dxa" w:w="1474"/>
            <w:shd w:fill="FFFFFF"/>
          </w:tcPr>
          <w:p>
            <w:pPr>
              <w:spacing w:after="0"/>
            </w:pPr>
            <w:r/>
            <w:r>
              <w:rPr>
                <w:rFonts w:ascii="Aptos" w:hAnsi="Aptos"/>
                <w:b w:val="0"/>
                <w:i w:val="0"/>
                <w:color w:val="1E252B"/>
                <w:sz w:val="16"/>
              </w:rPr>
              <w:t>-8.5</w:t>
            </w:r>
          </w:p>
        </w:tc>
        <w:tc>
          <w:tcPr>
            <w:tcW w:type="dxa" w:w="1474"/>
            <w:shd w:fill="FFFFFF"/>
          </w:tcPr>
          <w:p>
            <w:pPr>
              <w:spacing w:after="0"/>
            </w:pPr>
            <w:r/>
            <w:r>
              <w:rPr>
                <w:rFonts w:ascii="Aptos" w:hAnsi="Aptos"/>
                <w:b w:val="0"/>
                <w:i w:val="0"/>
                <w:color w:val="1E252B"/>
                <w:sz w:val="16"/>
              </w:rPr>
              <w:t>-12.9</w:t>
            </w:r>
          </w:p>
        </w:tc>
        <w:tc>
          <w:tcPr>
            <w:tcW w:type="dxa" w:w="1474"/>
            <w:shd w:fill="FFFFFF"/>
          </w:tcPr>
          <w:p>
            <w:pPr>
              <w:spacing w:after="0"/>
            </w:pPr>
            <w:r/>
            <w:r>
              <w:rPr>
                <w:rFonts w:ascii="Aptos" w:hAnsi="Aptos"/>
                <w:b w:val="0"/>
                <w:i w:val="0"/>
                <w:color w:val="1E252B"/>
                <w:sz w:val="16"/>
              </w:rPr>
              <w:t>-17.4</w:t>
            </w:r>
          </w:p>
        </w:tc>
        <w:tc>
          <w:tcPr>
            <w:tcW w:type="dxa" w:w="1474"/>
            <w:shd w:fill="FFFFFF"/>
          </w:tcPr>
          <w:p>
            <w:pPr>
              <w:spacing w:after="0"/>
            </w:pPr>
            <w:r/>
            <w:r>
              <w:rPr>
                <w:rFonts w:ascii="Aptos" w:hAnsi="Aptos"/>
                <w:b w:val="0"/>
                <w:i w:val="0"/>
                <w:color w:val="1E252B"/>
                <w:sz w:val="16"/>
              </w:rPr>
              <w:t>-21.8</w:t>
            </w:r>
          </w:p>
        </w:tc>
        <w:tc>
          <w:tcPr>
            <w:tcW w:type="dxa" w:w="1474"/>
            <w:shd w:fill="FFFFFF"/>
          </w:tcPr>
          <w:p>
            <w:pPr>
              <w:spacing w:after="0"/>
            </w:pPr>
            <w:r/>
            <w:r>
              <w:rPr>
                <w:rFonts w:ascii="Aptos" w:hAnsi="Aptos"/>
                <w:b w:val="0"/>
                <w:i w:val="0"/>
                <w:color w:val="1E252B"/>
                <w:sz w:val="16"/>
              </w:rPr>
              <w:t>-27.7</w:t>
            </w:r>
          </w:p>
        </w:tc>
      </w:tr>
      <w:tr>
        <w:tc>
          <w:tcPr>
            <w:tcW w:type="dxa" w:w="2268"/>
            <w:shd w:fill="F3F6F8"/>
          </w:tcPr>
          <w:p>
            <w:pPr>
              <w:spacing w:after="0"/>
            </w:pPr>
            <w:r/>
            <w:r>
              <w:rPr>
                <w:rFonts w:ascii="Aptos" w:hAnsi="Aptos"/>
                <w:b w:val="0"/>
                <w:i w:val="0"/>
                <w:color w:val="1E252B"/>
                <w:sz w:val="16"/>
              </w:rPr>
              <w:t>USD 1,030/t</w:t>
            </w:r>
          </w:p>
        </w:tc>
        <w:tc>
          <w:tcPr>
            <w:tcW w:type="dxa" w:w="1474"/>
            <w:shd w:fill="F3F6F8"/>
          </w:tcPr>
          <w:p>
            <w:pPr>
              <w:spacing w:after="0"/>
            </w:pPr>
            <w:r/>
            <w:r>
              <w:rPr>
                <w:rFonts w:ascii="Aptos" w:hAnsi="Aptos"/>
                <w:b w:val="0"/>
                <w:i w:val="0"/>
                <w:color w:val="1E252B"/>
                <w:sz w:val="16"/>
              </w:rPr>
              <w:t>3.3</w:t>
            </w:r>
          </w:p>
        </w:tc>
        <w:tc>
          <w:tcPr>
            <w:tcW w:type="dxa" w:w="1474"/>
            <w:shd w:fill="F3F6F8"/>
          </w:tcPr>
          <w:p>
            <w:pPr>
              <w:spacing w:after="0"/>
            </w:pPr>
            <w:r/>
            <w:r>
              <w:rPr>
                <w:rFonts w:ascii="Aptos" w:hAnsi="Aptos"/>
                <w:b w:val="0"/>
                <w:i w:val="0"/>
                <w:color w:val="1E252B"/>
                <w:sz w:val="16"/>
              </w:rPr>
              <w:t>-1.1</w:t>
            </w:r>
          </w:p>
        </w:tc>
        <w:tc>
          <w:tcPr>
            <w:tcW w:type="dxa" w:w="1474"/>
            <w:shd w:fill="F3F6F8"/>
          </w:tcPr>
          <w:p>
            <w:pPr>
              <w:spacing w:after="0"/>
            </w:pPr>
            <w:r/>
            <w:r>
              <w:rPr>
                <w:rFonts w:ascii="Aptos" w:hAnsi="Aptos"/>
                <w:b w:val="0"/>
                <w:i w:val="0"/>
                <w:color w:val="1E252B"/>
                <w:sz w:val="16"/>
              </w:rPr>
              <w:t>-5.6</w:t>
            </w:r>
          </w:p>
        </w:tc>
        <w:tc>
          <w:tcPr>
            <w:tcW w:type="dxa" w:w="1474"/>
            <w:shd w:fill="F3F6F8"/>
          </w:tcPr>
          <w:p>
            <w:pPr>
              <w:spacing w:after="0"/>
            </w:pPr>
            <w:r/>
            <w:r>
              <w:rPr>
                <w:rFonts w:ascii="Aptos" w:hAnsi="Aptos"/>
                <w:b w:val="0"/>
                <w:i w:val="0"/>
                <w:color w:val="1E252B"/>
                <w:sz w:val="16"/>
              </w:rPr>
              <w:t>-10.0</w:t>
            </w:r>
          </w:p>
        </w:tc>
        <w:tc>
          <w:tcPr>
            <w:tcW w:type="dxa" w:w="1474"/>
            <w:shd w:fill="F3F6F8"/>
          </w:tcPr>
          <w:p>
            <w:pPr>
              <w:spacing w:after="0"/>
            </w:pPr>
            <w:r/>
            <w:r>
              <w:rPr>
                <w:rFonts w:ascii="Aptos" w:hAnsi="Aptos"/>
                <w:b w:val="0"/>
                <w:i w:val="0"/>
                <w:color w:val="1E252B"/>
                <w:sz w:val="16"/>
              </w:rPr>
              <w:t>-15.9</w:t>
            </w:r>
          </w:p>
        </w:tc>
      </w:tr>
      <w:tr>
        <w:tc>
          <w:tcPr>
            <w:tcW w:type="dxa" w:w="2268"/>
            <w:shd w:fill="FFFFFF"/>
          </w:tcPr>
          <w:p>
            <w:pPr>
              <w:spacing w:after="0"/>
            </w:pPr>
            <w:r/>
            <w:r>
              <w:rPr>
                <w:rFonts w:ascii="Aptos" w:hAnsi="Aptos"/>
                <w:b w:val="0"/>
                <w:i w:val="0"/>
                <w:color w:val="1E252B"/>
                <w:sz w:val="16"/>
              </w:rPr>
              <w:t>USD 1,120/t</w:t>
            </w:r>
          </w:p>
        </w:tc>
        <w:tc>
          <w:tcPr>
            <w:tcW w:type="dxa" w:w="1474"/>
            <w:shd w:fill="FFFFFF"/>
          </w:tcPr>
          <w:p>
            <w:pPr>
              <w:spacing w:after="0"/>
            </w:pPr>
            <w:r/>
            <w:r>
              <w:rPr>
                <w:rFonts w:ascii="Aptos" w:hAnsi="Aptos"/>
                <w:b w:val="0"/>
                <w:i w:val="0"/>
                <w:color w:val="1E252B"/>
                <w:sz w:val="16"/>
              </w:rPr>
              <w:t>16.6</w:t>
            </w:r>
          </w:p>
        </w:tc>
        <w:tc>
          <w:tcPr>
            <w:tcW w:type="dxa" w:w="1474"/>
            <w:shd w:fill="FFFFFF"/>
          </w:tcPr>
          <w:p>
            <w:pPr>
              <w:spacing w:after="0"/>
            </w:pPr>
            <w:r/>
            <w:r>
              <w:rPr>
                <w:rFonts w:ascii="Aptos" w:hAnsi="Aptos"/>
                <w:b w:val="0"/>
                <w:i w:val="0"/>
                <w:color w:val="1E252B"/>
                <w:sz w:val="16"/>
              </w:rPr>
              <w:t>12.2</w:t>
            </w:r>
          </w:p>
        </w:tc>
        <w:tc>
          <w:tcPr>
            <w:tcW w:type="dxa" w:w="1474"/>
            <w:shd w:fill="FFFFFF"/>
          </w:tcPr>
          <w:p>
            <w:pPr>
              <w:spacing w:after="0"/>
            </w:pPr>
            <w:r/>
            <w:r>
              <w:rPr>
                <w:rFonts w:ascii="Aptos" w:hAnsi="Aptos"/>
                <w:b w:val="0"/>
                <w:i w:val="0"/>
                <w:color w:val="1E252B"/>
                <w:sz w:val="16"/>
              </w:rPr>
              <w:t>7.7</w:t>
            </w:r>
          </w:p>
        </w:tc>
        <w:tc>
          <w:tcPr>
            <w:tcW w:type="dxa" w:w="1474"/>
            <w:shd w:fill="FFFFFF"/>
          </w:tcPr>
          <w:p>
            <w:pPr>
              <w:spacing w:after="0"/>
            </w:pPr>
            <w:r/>
            <w:r>
              <w:rPr>
                <w:rFonts w:ascii="Aptos" w:hAnsi="Aptos"/>
                <w:b w:val="0"/>
                <w:i w:val="0"/>
                <w:color w:val="1E252B"/>
                <w:sz w:val="16"/>
              </w:rPr>
              <w:t>3.3</w:t>
            </w:r>
          </w:p>
        </w:tc>
        <w:tc>
          <w:tcPr>
            <w:tcW w:type="dxa" w:w="1474"/>
            <w:shd w:fill="FFFFFF"/>
          </w:tcPr>
          <w:p>
            <w:pPr>
              <w:spacing w:after="0"/>
            </w:pPr>
            <w:r/>
            <w:r>
              <w:rPr>
                <w:rFonts w:ascii="Aptos" w:hAnsi="Aptos"/>
                <w:b w:val="0"/>
                <w:i w:val="0"/>
                <w:color w:val="1E252B"/>
                <w:sz w:val="16"/>
              </w:rPr>
              <w:t>-2.6</w:t>
            </w:r>
          </w:p>
        </w:tc>
      </w:tr>
      <w:tr>
        <w:tc>
          <w:tcPr>
            <w:tcW w:type="dxa" w:w="2268"/>
            <w:shd w:fill="F3F6F8"/>
          </w:tcPr>
          <w:p>
            <w:pPr>
              <w:spacing w:after="0"/>
            </w:pPr>
            <w:r/>
            <w:r>
              <w:rPr>
                <w:rFonts w:ascii="Aptos" w:hAnsi="Aptos"/>
                <w:b w:val="0"/>
                <w:i w:val="0"/>
                <w:color w:val="1E252B"/>
                <w:sz w:val="16"/>
              </w:rPr>
              <w:t>USD 1,180/t</w:t>
            </w:r>
          </w:p>
        </w:tc>
        <w:tc>
          <w:tcPr>
            <w:tcW w:type="dxa" w:w="1474"/>
            <w:shd w:fill="F3F6F8"/>
          </w:tcPr>
          <w:p>
            <w:pPr>
              <w:spacing w:after="0"/>
            </w:pPr>
            <w:r/>
            <w:r>
              <w:rPr>
                <w:rFonts w:ascii="Aptos" w:hAnsi="Aptos"/>
                <w:b w:val="0"/>
                <w:i w:val="0"/>
                <w:color w:val="1E252B"/>
                <w:sz w:val="16"/>
              </w:rPr>
              <w:t>25.5</w:t>
            </w:r>
          </w:p>
        </w:tc>
        <w:tc>
          <w:tcPr>
            <w:tcW w:type="dxa" w:w="1474"/>
            <w:shd w:fill="F3F6F8"/>
          </w:tcPr>
          <w:p>
            <w:pPr>
              <w:spacing w:after="0"/>
            </w:pPr>
            <w:r/>
            <w:r>
              <w:rPr>
                <w:rFonts w:ascii="Aptos" w:hAnsi="Aptos"/>
                <w:b w:val="0"/>
                <w:i w:val="0"/>
                <w:color w:val="1E252B"/>
                <w:sz w:val="16"/>
              </w:rPr>
              <w:t>21.0</w:t>
            </w:r>
          </w:p>
        </w:tc>
        <w:tc>
          <w:tcPr>
            <w:tcW w:type="dxa" w:w="1474"/>
            <w:shd w:fill="F3F6F8"/>
          </w:tcPr>
          <w:p>
            <w:pPr>
              <w:spacing w:after="0"/>
            </w:pPr>
            <w:r/>
            <w:r>
              <w:rPr>
                <w:rFonts w:ascii="Aptos" w:hAnsi="Aptos"/>
                <w:b w:val="0"/>
                <w:i w:val="0"/>
                <w:color w:val="1E252B"/>
                <w:sz w:val="16"/>
              </w:rPr>
              <w:t>16.6</w:t>
            </w:r>
          </w:p>
        </w:tc>
        <w:tc>
          <w:tcPr>
            <w:tcW w:type="dxa" w:w="1474"/>
            <w:shd w:fill="F3F6F8"/>
          </w:tcPr>
          <w:p>
            <w:pPr>
              <w:spacing w:after="0"/>
            </w:pPr>
            <w:r/>
            <w:r>
              <w:rPr>
                <w:rFonts w:ascii="Aptos" w:hAnsi="Aptos"/>
                <w:b w:val="0"/>
                <w:i w:val="0"/>
                <w:color w:val="1E252B"/>
                <w:sz w:val="16"/>
              </w:rPr>
              <w:t>12.2</w:t>
            </w:r>
          </w:p>
        </w:tc>
        <w:tc>
          <w:tcPr>
            <w:tcW w:type="dxa" w:w="1474"/>
            <w:shd w:fill="F3F6F8"/>
          </w:tcPr>
          <w:p>
            <w:pPr>
              <w:spacing w:after="0"/>
            </w:pPr>
            <w:r/>
            <w:r>
              <w:rPr>
                <w:rFonts w:ascii="Aptos" w:hAnsi="Aptos"/>
                <w:b w:val="0"/>
                <w:i w:val="0"/>
                <w:color w:val="1E252B"/>
                <w:sz w:val="16"/>
              </w:rPr>
              <w:t>6.3</w:t>
            </w:r>
          </w:p>
        </w:tc>
      </w:tr>
      <w:tr>
        <w:tc>
          <w:tcPr>
            <w:tcW w:type="dxa" w:w="2268"/>
            <w:shd w:fill="FFFFFF"/>
          </w:tcPr>
          <w:p>
            <w:pPr>
              <w:spacing w:after="0"/>
            </w:pPr>
            <w:r/>
            <w:r>
              <w:rPr>
                <w:rFonts w:ascii="Aptos" w:hAnsi="Aptos"/>
                <w:b w:val="0"/>
                <w:i w:val="0"/>
                <w:color w:val="1E252B"/>
                <w:sz w:val="16"/>
              </w:rPr>
              <w:t>USD 1,250/t</w:t>
            </w:r>
          </w:p>
        </w:tc>
        <w:tc>
          <w:tcPr>
            <w:tcW w:type="dxa" w:w="1474"/>
            <w:shd w:fill="FFFFFF"/>
          </w:tcPr>
          <w:p>
            <w:pPr>
              <w:spacing w:after="0"/>
            </w:pPr>
            <w:r/>
            <w:r>
              <w:rPr>
                <w:rFonts w:ascii="Aptos" w:hAnsi="Aptos"/>
                <w:b w:val="0"/>
                <w:i w:val="0"/>
                <w:color w:val="1E252B"/>
                <w:sz w:val="16"/>
              </w:rPr>
              <w:t>35.8</w:t>
            </w:r>
          </w:p>
        </w:tc>
        <w:tc>
          <w:tcPr>
            <w:tcW w:type="dxa" w:w="1474"/>
            <w:shd w:fill="FFFFFF"/>
          </w:tcPr>
          <w:p>
            <w:pPr>
              <w:spacing w:after="0"/>
            </w:pPr>
            <w:r/>
            <w:r>
              <w:rPr>
                <w:rFonts w:ascii="Aptos" w:hAnsi="Aptos"/>
                <w:b w:val="0"/>
                <w:i w:val="0"/>
                <w:color w:val="1E252B"/>
                <w:sz w:val="16"/>
              </w:rPr>
              <w:t>31.4</w:t>
            </w:r>
          </w:p>
        </w:tc>
        <w:tc>
          <w:tcPr>
            <w:tcW w:type="dxa" w:w="1474"/>
            <w:shd w:fill="FFFFFF"/>
          </w:tcPr>
          <w:p>
            <w:pPr>
              <w:spacing w:after="0"/>
            </w:pPr>
            <w:r/>
            <w:r>
              <w:rPr>
                <w:rFonts w:ascii="Aptos" w:hAnsi="Aptos"/>
                <w:b w:val="0"/>
                <w:i w:val="0"/>
                <w:color w:val="1E252B"/>
                <w:sz w:val="16"/>
              </w:rPr>
              <w:t>27.0</w:t>
            </w:r>
          </w:p>
        </w:tc>
        <w:tc>
          <w:tcPr>
            <w:tcW w:type="dxa" w:w="1474"/>
            <w:shd w:fill="FFFFFF"/>
          </w:tcPr>
          <w:p>
            <w:pPr>
              <w:spacing w:after="0"/>
            </w:pPr>
            <w:r/>
            <w:r>
              <w:rPr>
                <w:rFonts w:ascii="Aptos" w:hAnsi="Aptos"/>
                <w:b w:val="0"/>
                <w:i w:val="0"/>
                <w:color w:val="1E252B"/>
                <w:sz w:val="16"/>
              </w:rPr>
              <w:t>22.5</w:t>
            </w:r>
          </w:p>
        </w:tc>
        <w:tc>
          <w:tcPr>
            <w:tcW w:type="dxa" w:w="1474"/>
            <w:shd w:fill="FFFFFF"/>
          </w:tcPr>
          <w:p>
            <w:pPr>
              <w:spacing w:after="0"/>
            </w:pPr>
            <w:r/>
            <w:r>
              <w:rPr>
                <w:rFonts w:ascii="Aptos" w:hAnsi="Aptos"/>
                <w:b w:val="0"/>
                <w:i w:val="0"/>
                <w:color w:val="1E252B"/>
                <w:sz w:val="16"/>
              </w:rPr>
              <w:t>16.6</w:t>
            </w:r>
          </w:p>
        </w:tc>
      </w:tr>
    </w:tbl>
    <w:p/>
    <w:p>
      <w:pPr>
        <w:spacing w:after="120" w:line="271" w:lineRule="auto"/>
        <w:jc w:val="both"/>
      </w:pPr>
      <w:r>
        <w:rPr>
          <w:rFonts w:ascii="Aptos" w:hAnsi="Aptos"/>
          <w:b w:val="0"/>
          <w:i w:val="0"/>
          <w:color w:val="1E252B"/>
          <w:sz w:val="20"/>
        </w:rPr>
        <w:t>Table values are indicative NPV in USD millions at 14%. The project is more sensitive to contribution margin and utilization than to a modest CAPEX saving. With mature fixed costs of USD 7.5 million and a USD 470/t contribution margin, operating break-even is about 16,000 t/y before depreciation, tax, and debt service.</w:t>
      </w:r>
    </w:p>
    <w:p>
      <w:r>
        <w:br w:type="page"/>
      </w:r>
    </w:p>
    <w:p>
      <w:pPr>
        <w:spacing w:after="60"/>
      </w:pPr>
      <w:r>
        <w:rPr>
          <w:rFonts w:ascii="Aptos" w:hAnsi="Aptos"/>
          <w:b/>
          <w:i w:val="0"/>
          <w:color w:val="C5A253"/>
          <w:sz w:val="17"/>
        </w:rPr>
        <w:t>CAPITAL STRUCTURE</w:t>
      </w:r>
    </w:p>
    <w:p>
      <w:pPr>
        <w:spacing w:after="200"/>
      </w:pPr>
      <w:r>
        <w:rPr>
          <w:rFonts w:ascii="Aptos" w:hAnsi="Aptos"/>
          <w:b/>
          <w:i w:val="0"/>
          <w:color w:val="0B1F3A"/>
          <w:sz w:val="40"/>
        </w:rPr>
        <w:t>Financing Principles</w:t>
      </w:r>
    </w:p>
    <w:tbl>
      <w:tblPr>
        <w:tblW w:type="auto" w:w="0"/>
        <w:jc w:val="center"/>
        <w:tblLayout w:type="fixed"/>
        <w:tblLook w:firstColumn="1" w:firstRow="1" w:lastColumn="0" w:lastRow="0" w:noHBand="0" w:noVBand="1" w:val="04A0"/>
      </w:tblPr>
      <w:tblGrid>
        <w:gridCol w:w="3156"/>
        <w:gridCol w:w="3156"/>
        <w:gridCol w:w="3156"/>
      </w:tblGrid>
      <w:tr>
        <w:tc>
          <w:tcPr>
            <w:tcW w:type="dxa" w:w="2438"/>
            <w:shd w:fill="0B1F3A"/>
          </w:tcPr>
          <w:p>
            <w:pPr>
              <w:spacing w:after="0"/>
            </w:pPr>
            <w:r/>
            <w:r>
              <w:rPr>
                <w:rFonts w:ascii="Aptos" w:hAnsi="Aptos"/>
                <w:b/>
                <w:i w:val="0"/>
                <w:color w:val="FFFFFF"/>
                <w:sz w:val="16"/>
              </w:rPr>
              <w:t>Source</w:t>
            </w:r>
          </w:p>
        </w:tc>
        <w:tc>
          <w:tcPr>
            <w:tcW w:type="dxa" w:w="2438"/>
            <w:shd w:fill="0B1F3A"/>
          </w:tcPr>
          <w:p>
            <w:pPr>
              <w:spacing w:after="0"/>
            </w:pPr>
            <w:r/>
            <w:r>
              <w:rPr>
                <w:rFonts w:ascii="Aptos" w:hAnsi="Aptos"/>
                <w:b/>
                <w:i w:val="0"/>
                <w:color w:val="FFFFFF"/>
                <w:sz w:val="16"/>
              </w:rPr>
              <w:t>Target range</w:t>
            </w:r>
          </w:p>
        </w:tc>
        <w:tc>
          <w:tcPr>
            <w:tcW w:type="dxa" w:w="4082"/>
            <w:shd w:fill="0B1F3A"/>
          </w:tcPr>
          <w:p>
            <w:pPr>
              <w:spacing w:after="0"/>
            </w:pPr>
            <w:r/>
            <w:r>
              <w:rPr>
                <w:rFonts w:ascii="Aptos" w:hAnsi="Aptos"/>
                <w:b/>
                <w:i w:val="0"/>
                <w:color w:val="FFFFFF"/>
                <w:sz w:val="16"/>
              </w:rPr>
              <w:t>Condition</w:t>
            </w:r>
          </w:p>
        </w:tc>
      </w:tr>
      <w:tr>
        <w:tc>
          <w:tcPr>
            <w:tcW w:type="dxa" w:w="2438"/>
            <w:shd w:fill="FFFFFF"/>
          </w:tcPr>
          <w:p>
            <w:pPr>
              <w:spacing w:after="0"/>
            </w:pPr>
            <w:r/>
            <w:r>
              <w:rPr>
                <w:rFonts w:ascii="Aptos" w:hAnsi="Aptos"/>
                <w:b w:val="0"/>
                <w:i w:val="0"/>
                <w:color w:val="1E252B"/>
                <w:sz w:val="16"/>
              </w:rPr>
              <w:t>Sponsor/investor equity</w:t>
            </w:r>
          </w:p>
        </w:tc>
        <w:tc>
          <w:tcPr>
            <w:tcW w:type="dxa" w:w="2438"/>
            <w:shd w:fill="FFFFFF"/>
          </w:tcPr>
          <w:p>
            <w:pPr>
              <w:spacing w:after="0"/>
            </w:pPr>
            <w:r/>
            <w:r>
              <w:rPr>
                <w:rFonts w:ascii="Aptos" w:hAnsi="Aptos"/>
                <w:b w:val="0"/>
                <w:i w:val="0"/>
                <w:color w:val="1E252B"/>
                <w:sz w:val="16"/>
              </w:rPr>
              <w:t>35–45%</w:t>
            </w:r>
          </w:p>
        </w:tc>
        <w:tc>
          <w:tcPr>
            <w:tcW w:type="dxa" w:w="4082"/>
            <w:shd w:fill="FFFFFF"/>
          </w:tcPr>
          <w:p>
            <w:pPr>
              <w:spacing w:after="0"/>
            </w:pPr>
            <w:r/>
            <w:r>
              <w:rPr>
                <w:rFonts w:ascii="Aptos" w:hAnsi="Aptos"/>
                <w:b w:val="0"/>
                <w:i w:val="0"/>
                <w:color w:val="1E252B"/>
                <w:sz w:val="16"/>
              </w:rPr>
              <w:t>Fund development, equity portion, and contingency.</w:t>
            </w:r>
          </w:p>
        </w:tc>
      </w:tr>
      <w:tr>
        <w:tc>
          <w:tcPr>
            <w:tcW w:type="dxa" w:w="2438"/>
            <w:shd w:fill="F3F6F8"/>
          </w:tcPr>
          <w:p>
            <w:pPr>
              <w:spacing w:after="0"/>
            </w:pPr>
            <w:r/>
            <w:r>
              <w:rPr>
                <w:rFonts w:ascii="Aptos" w:hAnsi="Aptos"/>
                <w:b w:val="0"/>
                <w:i w:val="0"/>
                <w:color w:val="1E252B"/>
                <w:sz w:val="16"/>
              </w:rPr>
              <w:t>Long-term debt</w:t>
            </w:r>
          </w:p>
        </w:tc>
        <w:tc>
          <w:tcPr>
            <w:tcW w:type="dxa" w:w="2438"/>
            <w:shd w:fill="F3F6F8"/>
          </w:tcPr>
          <w:p>
            <w:pPr>
              <w:spacing w:after="0"/>
            </w:pPr>
            <w:r/>
            <w:r>
              <w:rPr>
                <w:rFonts w:ascii="Aptos" w:hAnsi="Aptos"/>
                <w:b w:val="0"/>
                <w:i w:val="0"/>
                <w:color w:val="1E252B"/>
                <w:sz w:val="16"/>
              </w:rPr>
              <w:t>40–50%</w:t>
            </w:r>
          </w:p>
        </w:tc>
        <w:tc>
          <w:tcPr>
            <w:tcW w:type="dxa" w:w="4082"/>
            <w:shd w:fill="F3F6F8"/>
          </w:tcPr>
          <w:p>
            <w:pPr>
              <w:spacing w:after="0"/>
            </w:pPr>
            <w:r/>
            <w:r>
              <w:rPr>
                <w:rFonts w:ascii="Aptos" w:hAnsi="Aptos"/>
                <w:b w:val="0"/>
                <w:i w:val="0"/>
                <w:color w:val="1E252B"/>
                <w:sz w:val="16"/>
              </w:rPr>
              <w:t>Currency aligned with sales; construction grace; DSCR ≥1.35x.</w:t>
            </w:r>
          </w:p>
        </w:tc>
      </w:tr>
      <w:tr>
        <w:tc>
          <w:tcPr>
            <w:tcW w:type="dxa" w:w="2438"/>
            <w:shd w:fill="FFFFFF"/>
          </w:tcPr>
          <w:p>
            <w:pPr>
              <w:spacing w:after="0"/>
            </w:pPr>
            <w:r/>
            <w:r>
              <w:rPr>
                <w:rFonts w:ascii="Aptos" w:hAnsi="Aptos"/>
                <w:b w:val="0"/>
                <w:i w:val="0"/>
                <w:color w:val="1E252B"/>
                <w:sz w:val="16"/>
              </w:rPr>
              <w:t>Leasing/vendor finance</w:t>
            </w:r>
          </w:p>
        </w:tc>
        <w:tc>
          <w:tcPr>
            <w:tcW w:type="dxa" w:w="2438"/>
            <w:shd w:fill="FFFFFF"/>
          </w:tcPr>
          <w:p>
            <w:pPr>
              <w:spacing w:after="0"/>
            </w:pPr>
            <w:r/>
            <w:r>
              <w:rPr>
                <w:rFonts w:ascii="Aptos" w:hAnsi="Aptos"/>
                <w:b w:val="0"/>
                <w:i w:val="0"/>
                <w:color w:val="1E252B"/>
                <w:sz w:val="16"/>
              </w:rPr>
              <w:t>5–15%</w:t>
            </w:r>
          </w:p>
        </w:tc>
        <w:tc>
          <w:tcPr>
            <w:tcW w:type="dxa" w:w="4082"/>
            <w:shd w:fill="FFFFFF"/>
          </w:tcPr>
          <w:p>
            <w:pPr>
              <w:spacing w:after="0"/>
            </w:pPr>
            <w:r/>
            <w:r>
              <w:rPr>
                <w:rFonts w:ascii="Aptos" w:hAnsi="Aptos"/>
                <w:b w:val="0"/>
                <w:i w:val="0"/>
                <w:color w:val="1E252B"/>
                <w:sz w:val="16"/>
              </w:rPr>
              <w:t>Identifiable equipment and supplier support.</w:t>
            </w:r>
          </w:p>
        </w:tc>
      </w:tr>
      <w:tr>
        <w:tc>
          <w:tcPr>
            <w:tcW w:type="dxa" w:w="2438"/>
            <w:shd w:fill="F3F6F8"/>
          </w:tcPr>
          <w:p>
            <w:pPr>
              <w:spacing w:after="0"/>
            </w:pPr>
            <w:r/>
            <w:r>
              <w:rPr>
                <w:rFonts w:ascii="Aptos" w:hAnsi="Aptos"/>
                <w:b w:val="0"/>
                <w:i w:val="0"/>
                <w:color w:val="1E252B"/>
                <w:sz w:val="16"/>
              </w:rPr>
              <w:t>Working capital line</w:t>
            </w:r>
          </w:p>
        </w:tc>
        <w:tc>
          <w:tcPr>
            <w:tcW w:type="dxa" w:w="2438"/>
            <w:shd w:fill="F3F6F8"/>
          </w:tcPr>
          <w:p>
            <w:pPr>
              <w:spacing w:after="0"/>
            </w:pPr>
            <w:r/>
            <w:r>
              <w:rPr>
                <w:rFonts w:ascii="Aptos" w:hAnsi="Aptos"/>
                <w:b w:val="0"/>
                <w:i w:val="0"/>
                <w:color w:val="1E252B"/>
                <w:sz w:val="16"/>
              </w:rPr>
              <w:t>Separate facility</w:t>
            </w:r>
          </w:p>
        </w:tc>
        <w:tc>
          <w:tcPr>
            <w:tcW w:type="dxa" w:w="4082"/>
            <w:shd w:fill="F3F6F8"/>
          </w:tcPr>
          <w:p>
            <w:pPr>
              <w:spacing w:after="0"/>
            </w:pPr>
            <w:r/>
            <w:r>
              <w:rPr>
                <w:rFonts w:ascii="Aptos" w:hAnsi="Aptos"/>
                <w:b w:val="0"/>
                <w:i w:val="0"/>
                <w:color w:val="1E252B"/>
                <w:sz w:val="16"/>
              </w:rPr>
              <w:t>Inventory, export cycle, receivables.</w:t>
            </w:r>
          </w:p>
        </w:tc>
      </w:tr>
      <w:tr>
        <w:tc>
          <w:tcPr>
            <w:tcW w:type="dxa" w:w="2438"/>
            <w:shd w:fill="FFFFFF"/>
          </w:tcPr>
          <w:p>
            <w:pPr>
              <w:spacing w:after="0"/>
            </w:pPr>
            <w:r/>
            <w:r>
              <w:rPr>
                <w:rFonts w:ascii="Aptos" w:hAnsi="Aptos"/>
                <w:b w:val="0"/>
                <w:i w:val="0"/>
                <w:color w:val="1E252B"/>
                <w:sz w:val="16"/>
              </w:rPr>
              <w:t>Incentives</w:t>
            </w:r>
          </w:p>
        </w:tc>
        <w:tc>
          <w:tcPr>
            <w:tcW w:type="dxa" w:w="2438"/>
            <w:shd w:fill="FFFFFF"/>
          </w:tcPr>
          <w:p>
            <w:pPr>
              <w:spacing w:after="0"/>
            </w:pPr>
            <w:r/>
            <w:r>
              <w:rPr>
                <w:rFonts w:ascii="Aptos" w:hAnsi="Aptos"/>
                <w:b w:val="0"/>
                <w:i w:val="0"/>
                <w:color w:val="1E252B"/>
                <w:sz w:val="16"/>
              </w:rPr>
              <w:t>Confirmed only</w:t>
            </w:r>
          </w:p>
        </w:tc>
        <w:tc>
          <w:tcPr>
            <w:tcW w:type="dxa" w:w="4082"/>
            <w:shd w:fill="FFFFFF"/>
          </w:tcPr>
          <w:p>
            <w:pPr>
              <w:spacing w:after="0"/>
            </w:pPr>
            <w:r/>
            <w:r>
              <w:rPr>
                <w:rFonts w:ascii="Aptos" w:hAnsi="Aptos"/>
                <w:b w:val="0"/>
                <w:i w:val="0"/>
                <w:color w:val="1E252B"/>
                <w:sz w:val="16"/>
              </w:rPr>
              <w:t>RIGI general floor is USD 200M; assess RIMI/provincial rules.</w:t>
            </w:r>
          </w:p>
        </w:tc>
      </w:tr>
    </w:tbl>
    <w:p/>
    <w:p>
      <w:pPr>
        <w:spacing w:after="120" w:line="271" w:lineRule="auto"/>
        <w:jc w:val="both"/>
      </w:pPr>
      <w:r>
        <w:rPr>
          <w:rFonts w:ascii="Aptos" w:hAnsi="Aptos"/>
          <w:b w:val="0"/>
          <w:i w:val="0"/>
          <w:color w:val="1E252B"/>
          <w:sz w:val="20"/>
        </w:rPr>
        <w:t>The Central Bank of Argentina August 2026 market survey projected a December 2026 TAMAR rate of 23.45% nominal and ARS 1,630 per US dollar. These inputs support local budgeting and peso-debt scenarios, but the project must model the currency mismatch among sales, ingredients, payroll, taxes, and debt.</w:t>
      </w:r>
    </w:p>
    <w:p>
      <w:r>
        <w:br w:type="page"/>
      </w:r>
    </w:p>
    <w:p>
      <w:pPr>
        <w:spacing w:after="60"/>
      </w:pPr>
      <w:r>
        <w:rPr>
          <w:rFonts w:ascii="Aptos" w:hAnsi="Aptos"/>
          <w:b/>
          <w:i w:val="0"/>
          <w:color w:val="C5A253"/>
          <w:sz w:val="17"/>
        </w:rPr>
        <w:t>RISK REGISTER</w:t>
      </w:r>
    </w:p>
    <w:p>
      <w:pPr>
        <w:spacing w:after="200"/>
      </w:pPr>
      <w:r>
        <w:rPr>
          <w:rFonts w:ascii="Aptos" w:hAnsi="Aptos"/>
          <w:b/>
          <w:i w:val="0"/>
          <w:color w:val="0B1F3A"/>
          <w:sz w:val="40"/>
        </w:rPr>
        <w:t>Principal Risks and Mitigation</w:t>
      </w:r>
    </w:p>
    <w:tbl>
      <w:tblPr>
        <w:tblW w:type="auto" w:w="0"/>
        <w:jc w:val="center"/>
        <w:tblLayout w:type="fixed"/>
        <w:tblLook w:firstColumn="1" w:firstRow="1" w:lastColumn="0" w:lastRow="0" w:noHBand="0" w:noVBand="1" w:val="04A0"/>
      </w:tblPr>
      <w:tblGrid>
        <w:gridCol w:w="2367"/>
        <w:gridCol w:w="2367"/>
        <w:gridCol w:w="2367"/>
        <w:gridCol w:w="2367"/>
      </w:tblGrid>
      <w:tr>
        <w:tc>
          <w:tcPr>
            <w:tcW w:type="dxa" w:w="2438"/>
            <w:shd w:fill="0B1F3A"/>
          </w:tcPr>
          <w:p>
            <w:pPr>
              <w:spacing w:after="0"/>
            </w:pPr>
            <w:r/>
            <w:r>
              <w:rPr>
                <w:rFonts w:ascii="Aptos" w:hAnsi="Aptos"/>
                <w:b/>
                <w:i w:val="0"/>
                <w:color w:val="FFFFFF"/>
                <w:sz w:val="16"/>
              </w:rPr>
              <w:t>Risk</w:t>
            </w:r>
          </w:p>
        </w:tc>
        <w:tc>
          <w:tcPr>
            <w:tcW w:type="dxa" w:w="1361"/>
            <w:shd w:fill="0B1F3A"/>
          </w:tcPr>
          <w:p>
            <w:pPr>
              <w:spacing w:after="0"/>
            </w:pPr>
            <w:r/>
            <w:r>
              <w:rPr>
                <w:rFonts w:ascii="Aptos" w:hAnsi="Aptos"/>
                <w:b/>
                <w:i w:val="0"/>
                <w:color w:val="FFFFFF"/>
                <w:sz w:val="16"/>
              </w:rPr>
              <w:t>Likelihood</w:t>
            </w:r>
          </w:p>
        </w:tc>
        <w:tc>
          <w:tcPr>
            <w:tcW w:type="dxa" w:w="1361"/>
            <w:shd w:fill="0B1F3A"/>
          </w:tcPr>
          <w:p>
            <w:pPr>
              <w:spacing w:after="0"/>
            </w:pPr>
            <w:r/>
            <w:r>
              <w:rPr>
                <w:rFonts w:ascii="Aptos" w:hAnsi="Aptos"/>
                <w:b/>
                <w:i w:val="0"/>
                <w:color w:val="FFFFFF"/>
                <w:sz w:val="16"/>
              </w:rPr>
              <w:t>Impact</w:t>
            </w:r>
          </w:p>
        </w:tc>
        <w:tc>
          <w:tcPr>
            <w:tcW w:type="dxa" w:w="3969"/>
            <w:shd w:fill="0B1F3A"/>
          </w:tcPr>
          <w:p>
            <w:pPr>
              <w:spacing w:after="0"/>
            </w:pPr>
            <w:r/>
            <w:r>
              <w:rPr>
                <w:rFonts w:ascii="Aptos" w:hAnsi="Aptos"/>
                <w:b/>
                <w:i w:val="0"/>
                <w:color w:val="FFFFFF"/>
                <w:sz w:val="16"/>
              </w:rPr>
              <w:t>Mitigation</w:t>
            </w:r>
          </w:p>
        </w:tc>
      </w:tr>
      <w:tr>
        <w:tc>
          <w:tcPr>
            <w:tcW w:type="dxa" w:w="2438"/>
            <w:shd w:fill="FFFFFF"/>
          </w:tcPr>
          <w:p>
            <w:pPr>
              <w:spacing w:after="0"/>
            </w:pPr>
            <w:r/>
            <w:r>
              <w:rPr>
                <w:rFonts w:ascii="Aptos" w:hAnsi="Aptos"/>
                <w:b w:val="0"/>
                <w:i w:val="0"/>
                <w:color w:val="1E252B"/>
                <w:sz w:val="16"/>
              </w:rPr>
              <w:t>Commodity-heavy mix</w:t>
            </w:r>
          </w:p>
        </w:tc>
        <w:tc>
          <w:tcPr>
            <w:tcW w:type="dxa" w:w="1361"/>
            <w:shd w:fill="FFFFFF"/>
          </w:tcPr>
          <w:p>
            <w:pPr>
              <w:spacing w:after="0"/>
            </w:pPr>
            <w:r/>
            <w:r>
              <w:rPr>
                <w:rFonts w:ascii="Aptos" w:hAnsi="Aptos"/>
                <w:b w:val="0"/>
                <w:i w:val="0"/>
                <w:color w:val="1E252B"/>
                <w:sz w:val="16"/>
              </w:rPr>
              <w:t>High</w:t>
            </w:r>
          </w:p>
        </w:tc>
        <w:tc>
          <w:tcPr>
            <w:tcW w:type="dxa" w:w="1361"/>
            <w:shd w:fill="FFFFFF"/>
          </w:tcPr>
          <w:p>
            <w:pPr>
              <w:spacing w:after="0"/>
            </w:pPr>
            <w:r/>
            <w:r>
              <w:rPr>
                <w:rFonts w:ascii="Aptos" w:hAnsi="Aptos"/>
                <w:b w:val="0"/>
                <w:i w:val="0"/>
                <w:color w:val="1E252B"/>
                <w:sz w:val="16"/>
              </w:rPr>
              <w:t>High</w:t>
            </w:r>
          </w:p>
        </w:tc>
        <w:tc>
          <w:tcPr>
            <w:tcW w:type="dxa" w:w="3969"/>
            <w:shd w:fill="FFFFFF"/>
          </w:tcPr>
          <w:p>
            <w:pPr>
              <w:spacing w:after="0"/>
            </w:pPr>
            <w:r/>
            <w:r>
              <w:rPr>
                <w:rFonts w:ascii="Aptos" w:hAnsi="Aptos"/>
                <w:b w:val="0"/>
                <w:i w:val="0"/>
                <w:color w:val="1E252B"/>
                <w:sz w:val="16"/>
              </w:rPr>
              <w:t>Premium B2B offers, offtake, SKU margin floors.</w:t>
            </w:r>
          </w:p>
        </w:tc>
      </w:tr>
      <w:tr>
        <w:tc>
          <w:tcPr>
            <w:tcW w:type="dxa" w:w="2438"/>
            <w:shd w:fill="F3F6F8"/>
          </w:tcPr>
          <w:p>
            <w:pPr>
              <w:spacing w:after="0"/>
            </w:pPr>
            <w:r/>
            <w:r>
              <w:rPr>
                <w:rFonts w:ascii="Aptos" w:hAnsi="Aptos"/>
                <w:b w:val="0"/>
                <w:i w:val="0"/>
                <w:color w:val="1E252B"/>
                <w:sz w:val="16"/>
              </w:rPr>
              <w:t>Soy/corn volatility</w:t>
            </w:r>
          </w:p>
        </w:tc>
        <w:tc>
          <w:tcPr>
            <w:tcW w:type="dxa" w:w="1361"/>
            <w:shd w:fill="F3F6F8"/>
          </w:tcPr>
          <w:p>
            <w:pPr>
              <w:spacing w:after="0"/>
            </w:pPr>
            <w:r/>
            <w:r>
              <w:rPr>
                <w:rFonts w:ascii="Aptos" w:hAnsi="Aptos"/>
                <w:b w:val="0"/>
                <w:i w:val="0"/>
                <w:color w:val="1E252B"/>
                <w:sz w:val="16"/>
              </w:rPr>
              <w:t>High</w:t>
            </w:r>
          </w:p>
        </w:tc>
        <w:tc>
          <w:tcPr>
            <w:tcW w:type="dxa" w:w="1361"/>
            <w:shd w:fill="F3F6F8"/>
          </w:tcPr>
          <w:p>
            <w:pPr>
              <w:spacing w:after="0"/>
            </w:pPr>
            <w:r/>
            <w:r>
              <w:rPr>
                <w:rFonts w:ascii="Aptos" w:hAnsi="Aptos"/>
                <w:b w:val="0"/>
                <w:i w:val="0"/>
                <w:color w:val="1E252B"/>
                <w:sz w:val="16"/>
              </w:rPr>
              <w:t>High</w:t>
            </w:r>
          </w:p>
        </w:tc>
        <w:tc>
          <w:tcPr>
            <w:tcW w:type="dxa" w:w="3969"/>
            <w:shd w:fill="F3F6F8"/>
          </w:tcPr>
          <w:p>
            <w:pPr>
              <w:spacing w:after="0"/>
            </w:pPr>
            <w:r/>
            <w:r>
              <w:rPr>
                <w:rFonts w:ascii="Aptos" w:hAnsi="Aptos"/>
                <w:b w:val="0"/>
                <w:i w:val="0"/>
                <w:color w:val="1E252B"/>
                <w:sz w:val="16"/>
              </w:rPr>
              <w:t>Indexed formulas, hedging, inventory, multiple suppliers.</w:t>
            </w:r>
          </w:p>
        </w:tc>
      </w:tr>
      <w:tr>
        <w:tc>
          <w:tcPr>
            <w:tcW w:type="dxa" w:w="2438"/>
            <w:shd w:fill="FFFFFF"/>
          </w:tcPr>
          <w:p>
            <w:pPr>
              <w:spacing w:after="0"/>
            </w:pPr>
            <w:r/>
            <w:r>
              <w:rPr>
                <w:rFonts w:ascii="Aptos" w:hAnsi="Aptos"/>
                <w:b w:val="0"/>
                <w:i w:val="0"/>
                <w:color w:val="1E252B"/>
                <w:sz w:val="16"/>
              </w:rPr>
              <w:t>Underutilization</w:t>
            </w:r>
          </w:p>
        </w:tc>
        <w:tc>
          <w:tcPr>
            <w:tcW w:type="dxa" w:w="1361"/>
            <w:shd w:fill="FFFFFF"/>
          </w:tcPr>
          <w:p>
            <w:pPr>
              <w:spacing w:after="0"/>
            </w:pPr>
            <w:r/>
            <w:r>
              <w:rPr>
                <w:rFonts w:ascii="Aptos" w:hAnsi="Aptos"/>
                <w:b w:val="0"/>
                <w:i w:val="0"/>
                <w:color w:val="1E252B"/>
                <w:sz w:val="16"/>
              </w:rPr>
              <w:t>Med-high</w:t>
            </w:r>
          </w:p>
        </w:tc>
        <w:tc>
          <w:tcPr>
            <w:tcW w:type="dxa" w:w="1361"/>
            <w:shd w:fill="FFFFFF"/>
          </w:tcPr>
          <w:p>
            <w:pPr>
              <w:spacing w:after="0"/>
            </w:pPr>
            <w:r/>
            <w:r>
              <w:rPr>
                <w:rFonts w:ascii="Aptos" w:hAnsi="Aptos"/>
                <w:b w:val="0"/>
                <w:i w:val="0"/>
                <w:color w:val="1E252B"/>
                <w:sz w:val="16"/>
              </w:rPr>
              <w:t>High</w:t>
            </w:r>
          </w:p>
        </w:tc>
        <w:tc>
          <w:tcPr>
            <w:tcW w:type="dxa" w:w="3969"/>
            <w:shd w:fill="FFFFFF"/>
          </w:tcPr>
          <w:p>
            <w:pPr>
              <w:spacing w:after="0"/>
            </w:pPr>
            <w:r/>
            <w:r>
              <w:rPr>
                <w:rFonts w:ascii="Aptos" w:hAnsi="Aptos"/>
                <w:b w:val="0"/>
                <w:i w:val="0"/>
                <w:color w:val="1E252B"/>
                <w:sz w:val="16"/>
              </w:rPr>
              <w:t>Phase 1, toll manufacturing, expansion gates.</w:t>
            </w:r>
          </w:p>
        </w:tc>
      </w:tr>
      <w:tr>
        <w:tc>
          <w:tcPr>
            <w:tcW w:type="dxa" w:w="2438"/>
            <w:shd w:fill="F3F6F8"/>
          </w:tcPr>
          <w:p>
            <w:pPr>
              <w:spacing w:after="0"/>
            </w:pPr>
            <w:r/>
            <w:r>
              <w:rPr>
                <w:rFonts w:ascii="Aptos" w:hAnsi="Aptos"/>
                <w:b w:val="0"/>
                <w:i w:val="0"/>
                <w:color w:val="1E252B"/>
                <w:sz w:val="16"/>
              </w:rPr>
              <w:t>CAPEX/import exposure</w:t>
            </w:r>
          </w:p>
        </w:tc>
        <w:tc>
          <w:tcPr>
            <w:tcW w:type="dxa" w:w="1361"/>
            <w:shd w:fill="F3F6F8"/>
          </w:tcPr>
          <w:p>
            <w:pPr>
              <w:spacing w:after="0"/>
            </w:pPr>
            <w:r/>
            <w:r>
              <w:rPr>
                <w:rFonts w:ascii="Aptos" w:hAnsi="Aptos"/>
                <w:b w:val="0"/>
                <w:i w:val="0"/>
                <w:color w:val="1E252B"/>
                <w:sz w:val="16"/>
              </w:rPr>
              <w:t>High</w:t>
            </w:r>
          </w:p>
        </w:tc>
        <w:tc>
          <w:tcPr>
            <w:tcW w:type="dxa" w:w="1361"/>
            <w:shd w:fill="F3F6F8"/>
          </w:tcPr>
          <w:p>
            <w:pPr>
              <w:spacing w:after="0"/>
            </w:pPr>
            <w:r/>
            <w:r>
              <w:rPr>
                <w:rFonts w:ascii="Aptos" w:hAnsi="Aptos"/>
                <w:b w:val="0"/>
                <w:i w:val="0"/>
                <w:color w:val="1E252B"/>
                <w:sz w:val="16"/>
              </w:rPr>
              <w:t>High</w:t>
            </w:r>
          </w:p>
        </w:tc>
        <w:tc>
          <w:tcPr>
            <w:tcW w:type="dxa" w:w="3969"/>
            <w:shd w:fill="F3F6F8"/>
          </w:tcPr>
          <w:p>
            <w:pPr>
              <w:spacing w:after="0"/>
            </w:pPr>
            <w:r/>
            <w:r>
              <w:rPr>
                <w:rFonts w:ascii="Aptos" w:hAnsi="Aptos"/>
                <w:b w:val="0"/>
                <w:i w:val="0"/>
                <w:color w:val="1E252B"/>
                <w:sz w:val="16"/>
              </w:rPr>
              <w:t>Competitive RFQ, contingency, FX protection.</w:t>
            </w:r>
          </w:p>
        </w:tc>
      </w:tr>
      <w:tr>
        <w:tc>
          <w:tcPr>
            <w:tcW w:type="dxa" w:w="2438"/>
            <w:shd w:fill="FFFFFF"/>
          </w:tcPr>
          <w:p>
            <w:pPr>
              <w:spacing w:after="0"/>
            </w:pPr>
            <w:r/>
            <w:r>
              <w:rPr>
                <w:rFonts w:ascii="Aptos" w:hAnsi="Aptos"/>
                <w:b w:val="0"/>
                <w:i w:val="0"/>
                <w:color w:val="1E252B"/>
                <w:sz w:val="16"/>
              </w:rPr>
              <w:t>Food safety/allergens</w:t>
            </w:r>
          </w:p>
        </w:tc>
        <w:tc>
          <w:tcPr>
            <w:tcW w:type="dxa" w:w="1361"/>
            <w:shd w:fill="FFFFFF"/>
          </w:tcPr>
          <w:p>
            <w:pPr>
              <w:spacing w:after="0"/>
            </w:pPr>
            <w:r/>
            <w:r>
              <w:rPr>
                <w:rFonts w:ascii="Aptos" w:hAnsi="Aptos"/>
                <w:b w:val="0"/>
                <w:i w:val="0"/>
                <w:color w:val="1E252B"/>
                <w:sz w:val="16"/>
              </w:rPr>
              <w:t>Medium</w:t>
            </w:r>
          </w:p>
        </w:tc>
        <w:tc>
          <w:tcPr>
            <w:tcW w:type="dxa" w:w="1361"/>
            <w:shd w:fill="FFFFFF"/>
          </w:tcPr>
          <w:p>
            <w:pPr>
              <w:spacing w:after="0"/>
            </w:pPr>
            <w:r/>
            <w:r>
              <w:rPr>
                <w:rFonts w:ascii="Aptos" w:hAnsi="Aptos"/>
                <w:b w:val="0"/>
                <w:i w:val="0"/>
                <w:color w:val="1E252B"/>
                <w:sz w:val="16"/>
              </w:rPr>
              <w:t>Critical</w:t>
            </w:r>
          </w:p>
        </w:tc>
        <w:tc>
          <w:tcPr>
            <w:tcW w:type="dxa" w:w="3969"/>
            <w:shd w:fill="FFFFFF"/>
          </w:tcPr>
          <w:p>
            <w:pPr>
              <w:spacing w:after="0"/>
            </w:pPr>
            <w:r/>
            <w:r>
              <w:rPr>
                <w:rFonts w:ascii="Aptos" w:hAnsi="Aptos"/>
                <w:b w:val="0"/>
                <w:i w:val="0"/>
                <w:color w:val="1E252B"/>
                <w:sz w:val="16"/>
              </w:rPr>
              <w:t>Hygienic design, segregation, HACCP, recall.</w:t>
            </w:r>
          </w:p>
        </w:tc>
      </w:tr>
      <w:tr>
        <w:tc>
          <w:tcPr>
            <w:tcW w:type="dxa" w:w="2438"/>
            <w:shd w:fill="F3F6F8"/>
          </w:tcPr>
          <w:p>
            <w:pPr>
              <w:spacing w:after="0"/>
            </w:pPr>
            <w:r/>
            <w:r>
              <w:rPr>
                <w:rFonts w:ascii="Aptos" w:hAnsi="Aptos"/>
                <w:b w:val="0"/>
                <w:i w:val="0"/>
                <w:color w:val="1E252B"/>
                <w:sz w:val="16"/>
              </w:rPr>
              <w:t>Power/gas availability</w:t>
            </w:r>
          </w:p>
        </w:tc>
        <w:tc>
          <w:tcPr>
            <w:tcW w:type="dxa" w:w="1361"/>
            <w:shd w:fill="F3F6F8"/>
          </w:tcPr>
          <w:p>
            <w:pPr>
              <w:spacing w:after="0"/>
            </w:pPr>
            <w:r/>
            <w:r>
              <w:rPr>
                <w:rFonts w:ascii="Aptos" w:hAnsi="Aptos"/>
                <w:b w:val="0"/>
                <w:i w:val="0"/>
                <w:color w:val="1E252B"/>
                <w:sz w:val="16"/>
              </w:rPr>
              <w:t>Medium</w:t>
            </w:r>
          </w:p>
        </w:tc>
        <w:tc>
          <w:tcPr>
            <w:tcW w:type="dxa" w:w="1361"/>
            <w:shd w:fill="F3F6F8"/>
          </w:tcPr>
          <w:p>
            <w:pPr>
              <w:spacing w:after="0"/>
            </w:pPr>
            <w:r/>
            <w:r>
              <w:rPr>
                <w:rFonts w:ascii="Aptos" w:hAnsi="Aptos"/>
                <w:b w:val="0"/>
                <w:i w:val="0"/>
                <w:color w:val="1E252B"/>
                <w:sz w:val="16"/>
              </w:rPr>
              <w:t>High</w:t>
            </w:r>
          </w:p>
        </w:tc>
        <w:tc>
          <w:tcPr>
            <w:tcW w:type="dxa" w:w="3969"/>
            <w:shd w:fill="F3F6F8"/>
          </w:tcPr>
          <w:p>
            <w:pPr>
              <w:spacing w:after="0"/>
            </w:pPr>
            <w:r/>
            <w:r>
              <w:rPr>
                <w:rFonts w:ascii="Aptos" w:hAnsi="Aptos"/>
                <w:b w:val="0"/>
                <w:i w:val="0"/>
                <w:color w:val="1E252B"/>
                <w:sz w:val="16"/>
              </w:rPr>
              <w:t>Utility letters, dual fuel, energy efficiency.</w:t>
            </w:r>
          </w:p>
        </w:tc>
      </w:tr>
      <w:tr>
        <w:tc>
          <w:tcPr>
            <w:tcW w:type="dxa" w:w="2438"/>
            <w:shd w:fill="FFFFFF"/>
          </w:tcPr>
          <w:p>
            <w:pPr>
              <w:spacing w:after="0"/>
            </w:pPr>
            <w:r/>
            <w:r>
              <w:rPr>
                <w:rFonts w:ascii="Aptos" w:hAnsi="Aptos"/>
                <w:b w:val="0"/>
                <w:i w:val="0"/>
                <w:color w:val="1E252B"/>
                <w:sz w:val="16"/>
              </w:rPr>
              <w:t>Permits</w:t>
            </w:r>
          </w:p>
        </w:tc>
        <w:tc>
          <w:tcPr>
            <w:tcW w:type="dxa" w:w="1361"/>
            <w:shd w:fill="FFFFFF"/>
          </w:tcPr>
          <w:p>
            <w:pPr>
              <w:spacing w:after="0"/>
            </w:pPr>
            <w:r/>
            <w:r>
              <w:rPr>
                <w:rFonts w:ascii="Aptos" w:hAnsi="Aptos"/>
                <w:b w:val="0"/>
                <w:i w:val="0"/>
                <w:color w:val="1E252B"/>
                <w:sz w:val="16"/>
              </w:rPr>
              <w:t>Medium</w:t>
            </w:r>
          </w:p>
        </w:tc>
        <w:tc>
          <w:tcPr>
            <w:tcW w:type="dxa" w:w="1361"/>
            <w:shd w:fill="FFFFFF"/>
          </w:tcPr>
          <w:p>
            <w:pPr>
              <w:spacing w:after="0"/>
            </w:pPr>
            <w:r/>
            <w:r>
              <w:rPr>
                <w:rFonts w:ascii="Aptos" w:hAnsi="Aptos"/>
                <w:b w:val="0"/>
                <w:i w:val="0"/>
                <w:color w:val="1E252B"/>
                <w:sz w:val="16"/>
              </w:rPr>
              <w:t>High</w:t>
            </w:r>
          </w:p>
        </w:tc>
        <w:tc>
          <w:tcPr>
            <w:tcW w:type="dxa" w:w="3969"/>
            <w:shd w:fill="FFFFFF"/>
          </w:tcPr>
          <w:p>
            <w:pPr>
              <w:spacing w:after="0"/>
            </w:pPr>
            <w:r/>
            <w:r>
              <w:rPr>
                <w:rFonts w:ascii="Aptos" w:hAnsi="Aptos"/>
                <w:b w:val="0"/>
                <w:i w:val="0"/>
                <w:color w:val="1E252B"/>
                <w:sz w:val="16"/>
              </w:rPr>
              <w:t>Site-specific regulatory route before purchase.</w:t>
            </w:r>
          </w:p>
        </w:tc>
      </w:tr>
      <w:tr>
        <w:tc>
          <w:tcPr>
            <w:tcW w:type="dxa" w:w="2438"/>
            <w:shd w:fill="F3F6F8"/>
          </w:tcPr>
          <w:p>
            <w:pPr>
              <w:spacing w:after="0"/>
            </w:pPr>
            <w:r/>
            <w:r>
              <w:rPr>
                <w:rFonts w:ascii="Aptos" w:hAnsi="Aptos"/>
                <w:b w:val="0"/>
                <w:i w:val="0"/>
                <w:color w:val="1E252B"/>
                <w:sz w:val="16"/>
              </w:rPr>
              <w:t>Customer/country concentration</w:t>
            </w:r>
          </w:p>
        </w:tc>
        <w:tc>
          <w:tcPr>
            <w:tcW w:type="dxa" w:w="1361"/>
            <w:shd w:fill="F3F6F8"/>
          </w:tcPr>
          <w:p>
            <w:pPr>
              <w:spacing w:after="0"/>
            </w:pPr>
            <w:r/>
            <w:r>
              <w:rPr>
                <w:rFonts w:ascii="Aptos" w:hAnsi="Aptos"/>
                <w:b w:val="0"/>
                <w:i w:val="0"/>
                <w:color w:val="1E252B"/>
                <w:sz w:val="16"/>
              </w:rPr>
              <w:t>Medium</w:t>
            </w:r>
          </w:p>
        </w:tc>
        <w:tc>
          <w:tcPr>
            <w:tcW w:type="dxa" w:w="1361"/>
            <w:shd w:fill="F3F6F8"/>
          </w:tcPr>
          <w:p>
            <w:pPr>
              <w:spacing w:after="0"/>
            </w:pPr>
            <w:r/>
            <w:r>
              <w:rPr>
                <w:rFonts w:ascii="Aptos" w:hAnsi="Aptos"/>
                <w:b w:val="0"/>
                <w:i w:val="0"/>
                <w:color w:val="1E252B"/>
                <w:sz w:val="16"/>
              </w:rPr>
              <w:t>High</w:t>
            </w:r>
          </w:p>
        </w:tc>
        <w:tc>
          <w:tcPr>
            <w:tcW w:type="dxa" w:w="3969"/>
            <w:shd w:fill="F3F6F8"/>
          </w:tcPr>
          <w:p>
            <w:pPr>
              <w:spacing w:after="0"/>
            </w:pPr>
            <w:r/>
            <w:r>
              <w:rPr>
                <w:rFonts w:ascii="Aptos" w:hAnsi="Aptos"/>
                <w:b w:val="0"/>
                <w:i w:val="0"/>
                <w:color w:val="1E252B"/>
                <w:sz w:val="16"/>
              </w:rPr>
              <w:t>No customer &gt;25%; multiple destinations.</w:t>
            </w:r>
          </w:p>
        </w:tc>
      </w:tr>
      <w:tr>
        <w:tc>
          <w:tcPr>
            <w:tcW w:type="dxa" w:w="2438"/>
            <w:shd w:fill="FFFFFF"/>
          </w:tcPr>
          <w:p>
            <w:pPr>
              <w:spacing w:after="0"/>
            </w:pPr>
            <w:r/>
            <w:r>
              <w:rPr>
                <w:rFonts w:ascii="Aptos" w:hAnsi="Aptos"/>
                <w:b w:val="0"/>
                <w:i w:val="0"/>
                <w:color w:val="1E252B"/>
                <w:sz w:val="16"/>
              </w:rPr>
              <w:t>Combustible dust</w:t>
            </w:r>
          </w:p>
        </w:tc>
        <w:tc>
          <w:tcPr>
            <w:tcW w:type="dxa" w:w="1361"/>
            <w:shd w:fill="FFFFFF"/>
          </w:tcPr>
          <w:p>
            <w:pPr>
              <w:spacing w:after="0"/>
            </w:pPr>
            <w:r/>
            <w:r>
              <w:rPr>
                <w:rFonts w:ascii="Aptos" w:hAnsi="Aptos"/>
                <w:b w:val="0"/>
                <w:i w:val="0"/>
                <w:color w:val="1E252B"/>
                <w:sz w:val="16"/>
              </w:rPr>
              <w:t>Medium</w:t>
            </w:r>
          </w:p>
        </w:tc>
        <w:tc>
          <w:tcPr>
            <w:tcW w:type="dxa" w:w="1361"/>
            <w:shd w:fill="FFFFFF"/>
          </w:tcPr>
          <w:p>
            <w:pPr>
              <w:spacing w:after="0"/>
            </w:pPr>
            <w:r/>
            <w:r>
              <w:rPr>
                <w:rFonts w:ascii="Aptos" w:hAnsi="Aptos"/>
                <w:b w:val="0"/>
                <w:i w:val="0"/>
                <w:color w:val="1E252B"/>
                <w:sz w:val="16"/>
              </w:rPr>
              <w:t>Critical</w:t>
            </w:r>
          </w:p>
        </w:tc>
        <w:tc>
          <w:tcPr>
            <w:tcW w:type="dxa" w:w="3969"/>
            <w:shd w:fill="FFFFFF"/>
          </w:tcPr>
          <w:p>
            <w:pPr>
              <w:spacing w:after="0"/>
            </w:pPr>
            <w:r/>
            <w:r>
              <w:rPr>
                <w:rFonts w:ascii="Aptos" w:hAnsi="Aptos"/>
                <w:b w:val="0"/>
                <w:i w:val="0"/>
                <w:color w:val="1E252B"/>
                <w:sz w:val="16"/>
              </w:rPr>
              <w:t>DHA, explosion protection, housekeeping.</w:t>
            </w:r>
          </w:p>
        </w:tc>
      </w:tr>
    </w:tbl>
    <w:p/>
    <w:p>
      <w:r>
        <w:br w:type="page"/>
      </w:r>
    </w:p>
    <w:p>
      <w:pPr>
        <w:spacing w:after="60"/>
      </w:pPr>
      <w:r>
        <w:rPr>
          <w:rFonts w:ascii="Aptos" w:hAnsi="Aptos"/>
          <w:b/>
          <w:i w:val="0"/>
          <w:color w:val="C5A253"/>
          <w:sz w:val="17"/>
        </w:rPr>
        <w:t>INVESTMENT GATES</w:t>
      </w:r>
    </w:p>
    <w:p>
      <w:pPr>
        <w:spacing w:after="200"/>
      </w:pPr>
      <w:r>
        <w:rPr>
          <w:rFonts w:ascii="Aptos" w:hAnsi="Aptos"/>
          <w:b/>
          <w:i w:val="0"/>
          <w:color w:val="0B1F3A"/>
          <w:sz w:val="40"/>
        </w:rPr>
        <w:t>Implementation Roadmap</w:t>
      </w:r>
    </w:p>
    <w:tbl>
      <w:tblPr>
        <w:tblW w:type="auto" w:w="0"/>
        <w:jc w:val="center"/>
        <w:tblLayout w:type="fixed"/>
        <w:tblLook w:firstColumn="1" w:firstRow="1" w:lastColumn="0" w:lastRow="0" w:noHBand="0" w:noVBand="1" w:val="04A0"/>
      </w:tblPr>
      <w:tblGrid>
        <w:gridCol w:w="2367"/>
        <w:gridCol w:w="2367"/>
        <w:gridCol w:w="2367"/>
        <w:gridCol w:w="2367"/>
      </w:tblGrid>
      <w:tr>
        <w:tc>
          <w:tcPr>
            <w:tcW w:type="dxa" w:w="2098"/>
            <w:shd w:fill="0B1F3A"/>
          </w:tcPr>
          <w:p>
            <w:pPr>
              <w:spacing w:after="0"/>
            </w:pPr>
            <w:r/>
            <w:r>
              <w:rPr>
                <w:rFonts w:ascii="Aptos" w:hAnsi="Aptos"/>
                <w:b/>
                <w:i w:val="0"/>
                <w:color w:val="FFFFFF"/>
                <w:sz w:val="16"/>
              </w:rPr>
              <w:t>Stage</w:t>
            </w:r>
          </w:p>
        </w:tc>
        <w:tc>
          <w:tcPr>
            <w:tcW w:type="dxa" w:w="1587"/>
            <w:shd w:fill="0B1F3A"/>
          </w:tcPr>
          <w:p>
            <w:pPr>
              <w:spacing w:after="0"/>
            </w:pPr>
            <w:r/>
            <w:r>
              <w:rPr>
                <w:rFonts w:ascii="Aptos" w:hAnsi="Aptos"/>
                <w:b/>
                <w:i w:val="0"/>
                <w:color w:val="FFFFFF"/>
                <w:sz w:val="16"/>
              </w:rPr>
              <w:t>Duration</w:t>
            </w:r>
          </w:p>
        </w:tc>
        <w:tc>
          <w:tcPr>
            <w:tcW w:type="dxa" w:w="3912"/>
            <w:shd w:fill="0B1F3A"/>
          </w:tcPr>
          <w:p>
            <w:pPr>
              <w:spacing w:after="0"/>
            </w:pPr>
            <w:r/>
            <w:r>
              <w:rPr>
                <w:rFonts w:ascii="Aptos" w:hAnsi="Aptos"/>
                <w:b/>
                <w:i w:val="0"/>
                <w:color w:val="FFFFFF"/>
                <w:sz w:val="16"/>
              </w:rPr>
              <w:t>Deliverables</w:t>
            </w:r>
          </w:p>
        </w:tc>
        <w:tc>
          <w:tcPr>
            <w:tcW w:type="dxa" w:w="2154"/>
            <w:shd w:fill="0B1F3A"/>
          </w:tcPr>
          <w:p>
            <w:pPr>
              <w:spacing w:after="0"/>
            </w:pPr>
            <w:r/>
            <w:r>
              <w:rPr>
                <w:rFonts w:ascii="Aptos" w:hAnsi="Aptos"/>
                <w:b/>
                <w:i w:val="0"/>
                <w:color w:val="FFFFFF"/>
                <w:sz w:val="16"/>
              </w:rPr>
              <w:t>Gate</w:t>
            </w:r>
          </w:p>
        </w:tc>
      </w:tr>
      <w:tr>
        <w:tc>
          <w:tcPr>
            <w:tcW w:type="dxa" w:w="2098"/>
            <w:shd w:fill="FFFFFF"/>
          </w:tcPr>
          <w:p>
            <w:pPr>
              <w:spacing w:after="0"/>
            </w:pPr>
            <w:r/>
            <w:r>
              <w:rPr>
                <w:rFonts w:ascii="Aptos" w:hAnsi="Aptos"/>
                <w:b w:val="0"/>
                <w:i w:val="0"/>
                <w:color w:val="1E252B"/>
                <w:sz w:val="16"/>
              </w:rPr>
              <w:t>0. Preparation</w:t>
            </w:r>
          </w:p>
        </w:tc>
        <w:tc>
          <w:tcPr>
            <w:tcW w:type="dxa" w:w="1587"/>
            <w:shd w:fill="FFFFFF"/>
          </w:tcPr>
          <w:p>
            <w:pPr>
              <w:spacing w:after="0"/>
            </w:pPr>
            <w:r/>
            <w:r>
              <w:rPr>
                <w:rFonts w:ascii="Aptos" w:hAnsi="Aptos"/>
                <w:b w:val="0"/>
                <w:i w:val="0"/>
                <w:color w:val="1E252B"/>
                <w:sz w:val="16"/>
              </w:rPr>
              <w:t>0–4 weeks</w:t>
            </w:r>
          </w:p>
        </w:tc>
        <w:tc>
          <w:tcPr>
            <w:tcW w:type="dxa" w:w="3912"/>
            <w:shd w:fill="FFFFFF"/>
          </w:tcPr>
          <w:p>
            <w:pPr>
              <w:spacing w:after="0"/>
            </w:pPr>
            <w:r/>
            <w:r>
              <w:rPr>
                <w:rFonts w:ascii="Aptos" w:hAnsi="Aptos"/>
                <w:b w:val="0"/>
                <w:i w:val="0"/>
                <w:color w:val="1E252B"/>
                <w:sz w:val="16"/>
              </w:rPr>
              <w:t>Data room, team, criteria, NDA.</w:t>
            </w:r>
          </w:p>
        </w:tc>
        <w:tc>
          <w:tcPr>
            <w:tcW w:type="dxa" w:w="2154"/>
            <w:shd w:fill="FFFFFF"/>
          </w:tcPr>
          <w:p>
            <w:pPr>
              <w:spacing w:after="0"/>
            </w:pPr>
            <w:r/>
            <w:r>
              <w:rPr>
                <w:rFonts w:ascii="Aptos" w:hAnsi="Aptos"/>
                <w:b w:val="0"/>
                <w:i w:val="0"/>
                <w:color w:val="1E252B"/>
                <w:sz w:val="16"/>
              </w:rPr>
              <w:t>Mandate and budget.</w:t>
            </w:r>
          </w:p>
        </w:tc>
      </w:tr>
      <w:tr>
        <w:tc>
          <w:tcPr>
            <w:tcW w:type="dxa" w:w="2098"/>
            <w:shd w:fill="F3F6F8"/>
          </w:tcPr>
          <w:p>
            <w:pPr>
              <w:spacing w:after="0"/>
            </w:pPr>
            <w:r/>
            <w:r>
              <w:rPr>
                <w:rFonts w:ascii="Aptos" w:hAnsi="Aptos"/>
                <w:b w:val="0"/>
                <w:i w:val="0"/>
                <w:color w:val="1E252B"/>
                <w:sz w:val="16"/>
              </w:rPr>
              <w:t>1. Site/market pre-feasibility</w:t>
            </w:r>
          </w:p>
        </w:tc>
        <w:tc>
          <w:tcPr>
            <w:tcW w:type="dxa" w:w="1587"/>
            <w:shd w:fill="F3F6F8"/>
          </w:tcPr>
          <w:p>
            <w:pPr>
              <w:spacing w:after="0"/>
            </w:pPr>
            <w:r/>
            <w:r>
              <w:rPr>
                <w:rFonts w:ascii="Aptos" w:hAnsi="Aptos"/>
                <w:b w:val="0"/>
                <w:i w:val="0"/>
                <w:color w:val="1E252B"/>
                <w:sz w:val="16"/>
              </w:rPr>
              <w:t>5–16 weeks</w:t>
            </w:r>
          </w:p>
        </w:tc>
        <w:tc>
          <w:tcPr>
            <w:tcW w:type="dxa" w:w="3912"/>
            <w:shd w:fill="F3F6F8"/>
          </w:tcPr>
          <w:p>
            <w:pPr>
              <w:spacing w:after="0"/>
            </w:pPr>
            <w:r/>
            <w:r>
              <w:rPr>
                <w:rFonts w:ascii="Aptos" w:hAnsi="Aptos"/>
                <w:b w:val="0"/>
                <w:i w:val="0"/>
                <w:color w:val="1E252B"/>
                <w:sz w:val="16"/>
              </w:rPr>
              <w:t>Sites, offtake, pilots, utilities, ROM RFQ.</w:t>
            </w:r>
          </w:p>
        </w:tc>
        <w:tc>
          <w:tcPr>
            <w:tcW w:type="dxa" w:w="2154"/>
            <w:shd w:fill="F3F6F8"/>
          </w:tcPr>
          <w:p>
            <w:pPr>
              <w:spacing w:after="0"/>
            </w:pPr>
            <w:r/>
            <w:r>
              <w:rPr>
                <w:rFonts w:ascii="Aptos" w:hAnsi="Aptos"/>
                <w:b w:val="0"/>
                <w:i w:val="0"/>
                <w:color w:val="1E252B"/>
                <w:sz w:val="16"/>
              </w:rPr>
              <w:t>≥18,000 t/y LOIs; viable site.</w:t>
            </w:r>
          </w:p>
        </w:tc>
      </w:tr>
      <w:tr>
        <w:tc>
          <w:tcPr>
            <w:tcW w:type="dxa" w:w="2098"/>
            <w:shd w:fill="FFFFFF"/>
          </w:tcPr>
          <w:p>
            <w:pPr>
              <w:spacing w:after="0"/>
            </w:pPr>
            <w:r/>
            <w:r>
              <w:rPr>
                <w:rFonts w:ascii="Aptos" w:hAnsi="Aptos"/>
                <w:b w:val="0"/>
                <w:i w:val="0"/>
                <w:color w:val="1E252B"/>
                <w:sz w:val="16"/>
              </w:rPr>
              <w:t>2. Basic engineering / FEED</w:t>
            </w:r>
          </w:p>
        </w:tc>
        <w:tc>
          <w:tcPr>
            <w:tcW w:type="dxa" w:w="1587"/>
            <w:shd w:fill="FFFFFF"/>
          </w:tcPr>
          <w:p>
            <w:pPr>
              <w:spacing w:after="0"/>
            </w:pPr>
            <w:r/>
            <w:r>
              <w:rPr>
                <w:rFonts w:ascii="Aptos" w:hAnsi="Aptos"/>
                <w:b w:val="0"/>
                <w:i w:val="0"/>
                <w:color w:val="1E252B"/>
                <w:sz w:val="16"/>
              </w:rPr>
              <w:t>4–7 months</w:t>
            </w:r>
          </w:p>
        </w:tc>
        <w:tc>
          <w:tcPr>
            <w:tcW w:type="dxa" w:w="3912"/>
            <w:shd w:fill="FFFFFF"/>
          </w:tcPr>
          <w:p>
            <w:pPr>
              <w:spacing w:after="0"/>
            </w:pPr>
            <w:r/>
            <w:r>
              <w:rPr>
                <w:rFonts w:ascii="Aptos" w:hAnsi="Aptos"/>
                <w:b w:val="0"/>
                <w:i w:val="0"/>
                <w:color w:val="1E252B"/>
                <w:sz w:val="16"/>
              </w:rPr>
              <w:t>PFD/P&amp;ID, layout, EIA, CAPEX ±15–20%, HAZOP/DHA.</w:t>
            </w:r>
          </w:p>
        </w:tc>
        <w:tc>
          <w:tcPr>
            <w:tcW w:type="dxa" w:w="2154"/>
            <w:shd w:fill="FFFFFF"/>
          </w:tcPr>
          <w:p>
            <w:pPr>
              <w:spacing w:after="0"/>
            </w:pPr>
            <w:r/>
            <w:r>
              <w:rPr>
                <w:rFonts w:ascii="Aptos" w:hAnsi="Aptos"/>
                <w:b w:val="0"/>
                <w:i w:val="0"/>
                <w:color w:val="1E252B"/>
                <w:sz w:val="16"/>
              </w:rPr>
              <w:t>Returns and critical permits.</w:t>
            </w:r>
          </w:p>
        </w:tc>
      </w:tr>
      <w:tr>
        <w:tc>
          <w:tcPr>
            <w:tcW w:type="dxa" w:w="2098"/>
            <w:shd w:fill="F3F6F8"/>
          </w:tcPr>
          <w:p>
            <w:pPr>
              <w:spacing w:after="0"/>
            </w:pPr>
            <w:r/>
            <w:r>
              <w:rPr>
                <w:rFonts w:ascii="Aptos" w:hAnsi="Aptos"/>
                <w:b w:val="0"/>
                <w:i w:val="0"/>
                <w:color w:val="1E252B"/>
                <w:sz w:val="16"/>
              </w:rPr>
              <w:t>3. Financial close</w:t>
            </w:r>
          </w:p>
        </w:tc>
        <w:tc>
          <w:tcPr>
            <w:tcW w:type="dxa" w:w="1587"/>
            <w:shd w:fill="F3F6F8"/>
          </w:tcPr>
          <w:p>
            <w:pPr>
              <w:spacing w:after="0"/>
            </w:pPr>
            <w:r/>
            <w:r>
              <w:rPr>
                <w:rFonts w:ascii="Aptos" w:hAnsi="Aptos"/>
                <w:b w:val="0"/>
                <w:i w:val="0"/>
                <w:color w:val="1E252B"/>
                <w:sz w:val="16"/>
              </w:rPr>
              <w:t>2–4 months</w:t>
            </w:r>
          </w:p>
        </w:tc>
        <w:tc>
          <w:tcPr>
            <w:tcW w:type="dxa" w:w="3912"/>
            <w:shd w:fill="F3F6F8"/>
          </w:tcPr>
          <w:p>
            <w:pPr>
              <w:spacing w:after="0"/>
            </w:pPr>
            <w:r/>
            <w:r>
              <w:rPr>
                <w:rFonts w:ascii="Aptos" w:hAnsi="Aptos"/>
                <w:b w:val="0"/>
                <w:i w:val="0"/>
                <w:color w:val="1E252B"/>
                <w:sz w:val="16"/>
              </w:rPr>
              <w:t>EPC, debt, insurance, contracts.</w:t>
            </w:r>
          </w:p>
        </w:tc>
        <w:tc>
          <w:tcPr>
            <w:tcW w:type="dxa" w:w="2154"/>
            <w:shd w:fill="F3F6F8"/>
          </w:tcPr>
          <w:p>
            <w:pPr>
              <w:spacing w:after="0"/>
            </w:pPr>
            <w:r/>
            <w:r>
              <w:rPr>
                <w:rFonts w:ascii="Aptos" w:hAnsi="Aptos"/>
                <w:b w:val="0"/>
                <w:i w:val="0"/>
                <w:color w:val="1E252B"/>
                <w:sz w:val="16"/>
              </w:rPr>
              <w:t>Notice to proceed.</w:t>
            </w:r>
          </w:p>
        </w:tc>
      </w:tr>
      <w:tr>
        <w:tc>
          <w:tcPr>
            <w:tcW w:type="dxa" w:w="2098"/>
            <w:shd w:fill="FFFFFF"/>
          </w:tcPr>
          <w:p>
            <w:pPr>
              <w:spacing w:after="0"/>
            </w:pPr>
            <w:r/>
            <w:r>
              <w:rPr>
                <w:rFonts w:ascii="Aptos" w:hAnsi="Aptos"/>
                <w:b w:val="0"/>
                <w:i w:val="0"/>
                <w:color w:val="1E252B"/>
                <w:sz w:val="16"/>
              </w:rPr>
              <w:t>4. Phase 1 construction</w:t>
            </w:r>
          </w:p>
        </w:tc>
        <w:tc>
          <w:tcPr>
            <w:tcW w:type="dxa" w:w="1587"/>
            <w:shd w:fill="FFFFFF"/>
          </w:tcPr>
          <w:p>
            <w:pPr>
              <w:spacing w:after="0"/>
            </w:pPr>
            <w:r/>
            <w:r>
              <w:rPr>
                <w:rFonts w:ascii="Aptos" w:hAnsi="Aptos"/>
                <w:b w:val="0"/>
                <w:i w:val="0"/>
                <w:color w:val="1E252B"/>
                <w:sz w:val="16"/>
              </w:rPr>
              <w:t>14–20 months</w:t>
            </w:r>
          </w:p>
        </w:tc>
        <w:tc>
          <w:tcPr>
            <w:tcW w:type="dxa" w:w="3912"/>
            <w:shd w:fill="FFFFFF"/>
          </w:tcPr>
          <w:p>
            <w:pPr>
              <w:spacing w:after="0"/>
            </w:pPr>
            <w:r/>
            <w:r>
              <w:rPr>
                <w:rFonts w:ascii="Aptos" w:hAnsi="Aptos"/>
                <w:b w:val="0"/>
                <w:i w:val="0"/>
                <w:color w:val="1E252B"/>
                <w:sz w:val="16"/>
              </w:rPr>
              <w:t>Civil, installation, FAT/SAT, training.</w:t>
            </w:r>
          </w:p>
        </w:tc>
        <w:tc>
          <w:tcPr>
            <w:tcW w:type="dxa" w:w="2154"/>
            <w:shd w:fill="FFFFFF"/>
          </w:tcPr>
          <w:p>
            <w:pPr>
              <w:spacing w:after="0"/>
            </w:pPr>
            <w:r/>
            <w:r>
              <w:rPr>
                <w:rFonts w:ascii="Aptos" w:hAnsi="Aptos"/>
                <w:b w:val="0"/>
                <w:i w:val="0"/>
                <w:color w:val="1E252B"/>
                <w:sz w:val="16"/>
              </w:rPr>
              <w:t>Performance test.</w:t>
            </w:r>
          </w:p>
        </w:tc>
      </w:tr>
      <w:tr>
        <w:tc>
          <w:tcPr>
            <w:tcW w:type="dxa" w:w="2098"/>
            <w:shd w:fill="F3F6F8"/>
          </w:tcPr>
          <w:p>
            <w:pPr>
              <w:spacing w:after="0"/>
            </w:pPr>
            <w:r/>
            <w:r>
              <w:rPr>
                <w:rFonts w:ascii="Aptos" w:hAnsi="Aptos"/>
                <w:b w:val="0"/>
                <w:i w:val="0"/>
                <w:color w:val="1E252B"/>
                <w:sz w:val="16"/>
              </w:rPr>
              <w:t>5. Ramp-up</w:t>
            </w:r>
          </w:p>
        </w:tc>
        <w:tc>
          <w:tcPr>
            <w:tcW w:type="dxa" w:w="1587"/>
            <w:shd w:fill="F3F6F8"/>
          </w:tcPr>
          <w:p>
            <w:pPr>
              <w:spacing w:after="0"/>
            </w:pPr>
            <w:r/>
            <w:r>
              <w:rPr>
                <w:rFonts w:ascii="Aptos" w:hAnsi="Aptos"/>
                <w:b w:val="0"/>
                <w:i w:val="0"/>
                <w:color w:val="1E252B"/>
                <w:sz w:val="16"/>
              </w:rPr>
              <w:t>6–12 months</w:t>
            </w:r>
          </w:p>
        </w:tc>
        <w:tc>
          <w:tcPr>
            <w:tcW w:type="dxa" w:w="3912"/>
            <w:shd w:fill="F3F6F8"/>
          </w:tcPr>
          <w:p>
            <w:pPr>
              <w:spacing w:after="0"/>
            </w:pPr>
            <w:r/>
            <w:r>
              <w:rPr>
                <w:rFonts w:ascii="Aptos" w:hAnsi="Aptos"/>
                <w:b w:val="0"/>
                <w:i w:val="0"/>
                <w:color w:val="1E252B"/>
                <w:sz w:val="16"/>
              </w:rPr>
              <w:t>OEE, quality, sales, guaranteed costs.</w:t>
            </w:r>
          </w:p>
        </w:tc>
        <w:tc>
          <w:tcPr>
            <w:tcW w:type="dxa" w:w="2154"/>
            <w:shd w:fill="F3F6F8"/>
          </w:tcPr>
          <w:p>
            <w:pPr>
              <w:spacing w:after="0"/>
            </w:pPr>
            <w:r/>
            <w:r>
              <w:rPr>
                <w:rFonts w:ascii="Aptos" w:hAnsi="Aptos"/>
                <w:b w:val="0"/>
                <w:i w:val="0"/>
                <w:color w:val="1E252B"/>
                <w:sz w:val="16"/>
              </w:rPr>
              <w:t>≥80% sustained utilization.</w:t>
            </w:r>
          </w:p>
        </w:tc>
      </w:tr>
      <w:tr>
        <w:tc>
          <w:tcPr>
            <w:tcW w:type="dxa" w:w="2098"/>
            <w:shd w:fill="FFFFFF"/>
          </w:tcPr>
          <w:p>
            <w:pPr>
              <w:spacing w:after="0"/>
            </w:pPr>
            <w:r/>
            <w:r>
              <w:rPr>
                <w:rFonts w:ascii="Aptos" w:hAnsi="Aptos"/>
                <w:b w:val="0"/>
                <w:i w:val="0"/>
                <w:color w:val="1E252B"/>
                <w:sz w:val="16"/>
              </w:rPr>
              <w:t>6. Expansion</w:t>
            </w:r>
          </w:p>
        </w:tc>
        <w:tc>
          <w:tcPr>
            <w:tcW w:type="dxa" w:w="1587"/>
            <w:shd w:fill="FFFFFF"/>
          </w:tcPr>
          <w:p>
            <w:pPr>
              <w:spacing w:after="0"/>
            </w:pPr>
            <w:r/>
            <w:r>
              <w:rPr>
                <w:rFonts w:ascii="Aptos" w:hAnsi="Aptos"/>
                <w:b w:val="0"/>
                <w:i w:val="0"/>
                <w:color w:val="1E252B"/>
                <w:sz w:val="16"/>
              </w:rPr>
              <w:t>12–16 months</w:t>
            </w:r>
          </w:p>
        </w:tc>
        <w:tc>
          <w:tcPr>
            <w:tcW w:type="dxa" w:w="3912"/>
            <w:shd w:fill="FFFFFF"/>
          </w:tcPr>
          <w:p>
            <w:pPr>
              <w:spacing w:after="0"/>
            </w:pPr>
            <w:r/>
            <w:r>
              <w:rPr>
                <w:rFonts w:ascii="Aptos" w:hAnsi="Aptos"/>
                <w:b w:val="0"/>
                <w:i w:val="0"/>
                <w:color w:val="1E252B"/>
                <w:sz w:val="16"/>
              </w:rPr>
              <w:t>Phase 2 without stopping operations.</w:t>
            </w:r>
          </w:p>
        </w:tc>
        <w:tc>
          <w:tcPr>
            <w:tcW w:type="dxa" w:w="2154"/>
            <w:shd w:fill="FFFFFF"/>
          </w:tcPr>
          <w:p>
            <w:pPr>
              <w:spacing w:after="0"/>
            </w:pPr>
            <w:r/>
            <w:r>
              <w:rPr>
                <w:rFonts w:ascii="Aptos" w:hAnsi="Aptos"/>
                <w:b w:val="0"/>
                <w:i w:val="0"/>
                <w:color w:val="1E252B"/>
                <w:sz w:val="16"/>
              </w:rPr>
              <w:t>65,000 t/y capacity.</w:t>
            </w:r>
          </w:p>
        </w:tc>
      </w:tr>
    </w:tbl>
    <w:p/>
    <w:p>
      <w:r>
        <w:br w:type="page"/>
      </w:r>
    </w:p>
    <w:p>
      <w:pPr>
        <w:spacing w:after="60"/>
      </w:pPr>
      <w:r>
        <w:rPr>
          <w:rFonts w:ascii="Aptos" w:hAnsi="Aptos"/>
          <w:b/>
          <w:i w:val="0"/>
          <w:color w:val="C5A253"/>
          <w:sz w:val="17"/>
        </w:rPr>
        <w:t>GOVERNANCE</w:t>
      </w:r>
    </w:p>
    <w:p>
      <w:pPr>
        <w:spacing w:after="200"/>
      </w:pPr>
      <w:r>
        <w:rPr>
          <w:rFonts w:ascii="Aptos" w:hAnsi="Aptos"/>
          <w:b/>
          <w:i w:val="0"/>
          <w:color w:val="0B1F3A"/>
          <w:sz w:val="40"/>
        </w:rPr>
        <w:t>Board Performance Dashboard</w:t>
      </w:r>
    </w:p>
    <w:tbl>
      <w:tblPr>
        <w:tblW w:type="auto" w:w="0"/>
        <w:jc w:val="center"/>
        <w:tblLayout w:type="fixed"/>
        <w:tblLook w:firstColumn="1" w:firstRow="1" w:lastColumn="0" w:lastRow="0" w:noHBand="0" w:noVBand="1" w:val="04A0"/>
      </w:tblPr>
      <w:tblGrid>
        <w:gridCol w:w="3156"/>
        <w:gridCol w:w="3156"/>
        <w:gridCol w:w="3156"/>
      </w:tblGrid>
      <w:tr>
        <w:tc>
          <w:tcPr>
            <w:tcW w:type="dxa" w:w="2268"/>
            <w:shd w:fill="0B1F3A"/>
          </w:tcPr>
          <w:p>
            <w:pPr>
              <w:spacing w:after="0"/>
            </w:pPr>
            <w:r/>
            <w:r>
              <w:rPr>
                <w:rFonts w:ascii="Aptos" w:hAnsi="Aptos"/>
                <w:b/>
                <w:i w:val="0"/>
                <w:color w:val="FFFFFF"/>
                <w:sz w:val="16"/>
              </w:rPr>
              <w:t>Dimension</w:t>
            </w:r>
          </w:p>
        </w:tc>
        <w:tc>
          <w:tcPr>
            <w:tcW w:type="dxa" w:w="3855"/>
            <w:shd w:fill="0B1F3A"/>
          </w:tcPr>
          <w:p>
            <w:pPr>
              <w:spacing w:after="0"/>
            </w:pPr>
            <w:r/>
            <w:r>
              <w:rPr>
                <w:rFonts w:ascii="Aptos" w:hAnsi="Aptos"/>
                <w:b/>
                <w:i w:val="0"/>
                <w:color w:val="FFFFFF"/>
                <w:sz w:val="16"/>
              </w:rPr>
              <w:t>KPI</w:t>
            </w:r>
          </w:p>
        </w:tc>
        <w:tc>
          <w:tcPr>
            <w:tcW w:type="dxa" w:w="3628"/>
            <w:shd w:fill="0B1F3A"/>
          </w:tcPr>
          <w:p>
            <w:pPr>
              <w:spacing w:after="0"/>
            </w:pPr>
            <w:r/>
            <w:r>
              <w:rPr>
                <w:rFonts w:ascii="Aptos" w:hAnsi="Aptos"/>
                <w:b/>
                <w:i w:val="0"/>
                <w:color w:val="FFFFFF"/>
                <w:sz w:val="16"/>
              </w:rPr>
              <w:t>Mature target</w:t>
            </w:r>
          </w:p>
        </w:tc>
      </w:tr>
      <w:tr>
        <w:tc>
          <w:tcPr>
            <w:tcW w:type="dxa" w:w="2268"/>
            <w:shd w:fill="FFFFFF"/>
          </w:tcPr>
          <w:p>
            <w:pPr>
              <w:spacing w:after="0"/>
            </w:pPr>
            <w:r/>
            <w:r>
              <w:rPr>
                <w:rFonts w:ascii="Aptos" w:hAnsi="Aptos"/>
                <w:b w:val="0"/>
                <w:i w:val="0"/>
                <w:color w:val="1E252B"/>
                <w:sz w:val="16"/>
              </w:rPr>
              <w:t>Commercial</w:t>
            </w:r>
          </w:p>
        </w:tc>
        <w:tc>
          <w:tcPr>
            <w:tcW w:type="dxa" w:w="3855"/>
            <w:shd w:fill="FFFFFF"/>
          </w:tcPr>
          <w:p>
            <w:pPr>
              <w:spacing w:after="0"/>
            </w:pPr>
            <w:r/>
            <w:r>
              <w:rPr>
                <w:rFonts w:ascii="Aptos" w:hAnsi="Aptos"/>
                <w:b w:val="0"/>
                <w:i w:val="0"/>
                <w:color w:val="1E252B"/>
                <w:sz w:val="16"/>
              </w:rPr>
              <w:t>Contracted volume / capacity</w:t>
            </w:r>
          </w:p>
        </w:tc>
        <w:tc>
          <w:tcPr>
            <w:tcW w:type="dxa" w:w="3628"/>
            <w:shd w:fill="FFFFFF"/>
          </w:tcPr>
          <w:p>
            <w:pPr>
              <w:spacing w:after="0"/>
            </w:pPr>
            <w:r/>
            <w:r>
              <w:rPr>
                <w:rFonts w:ascii="Aptos" w:hAnsi="Aptos"/>
                <w:b w:val="0"/>
                <w:i w:val="0"/>
                <w:color w:val="1E252B"/>
                <w:sz w:val="16"/>
              </w:rPr>
              <w:t>≥70% for next 12 months</w:t>
            </w:r>
          </w:p>
        </w:tc>
      </w:tr>
      <w:tr>
        <w:tc>
          <w:tcPr>
            <w:tcW w:type="dxa" w:w="2268"/>
            <w:shd w:fill="F3F6F8"/>
          </w:tcPr>
          <w:p>
            <w:pPr>
              <w:spacing w:after="0"/>
            </w:pPr>
            <w:r/>
            <w:r>
              <w:rPr>
                <w:rFonts w:ascii="Aptos" w:hAnsi="Aptos"/>
                <w:b w:val="0"/>
                <w:i w:val="0"/>
                <w:color w:val="1E252B"/>
                <w:sz w:val="16"/>
              </w:rPr>
              <w:t>Commercial</w:t>
            </w:r>
          </w:p>
        </w:tc>
        <w:tc>
          <w:tcPr>
            <w:tcW w:type="dxa" w:w="3855"/>
            <w:shd w:fill="F3F6F8"/>
          </w:tcPr>
          <w:p>
            <w:pPr>
              <w:spacing w:after="0"/>
            </w:pPr>
            <w:r/>
            <w:r>
              <w:rPr>
                <w:rFonts w:ascii="Aptos" w:hAnsi="Aptos"/>
                <w:b w:val="0"/>
                <w:i w:val="0"/>
                <w:color w:val="1E252B"/>
                <w:sz w:val="16"/>
              </w:rPr>
              <w:t>Contribution margin per ton</w:t>
            </w:r>
          </w:p>
        </w:tc>
        <w:tc>
          <w:tcPr>
            <w:tcW w:type="dxa" w:w="3628"/>
            <w:shd w:fill="F3F6F8"/>
          </w:tcPr>
          <w:p>
            <w:pPr>
              <w:spacing w:after="0"/>
            </w:pPr>
            <w:r/>
            <w:r>
              <w:rPr>
                <w:rFonts w:ascii="Aptos" w:hAnsi="Aptos"/>
                <w:b w:val="0"/>
                <w:i w:val="0"/>
                <w:color w:val="1E252B"/>
                <w:sz w:val="16"/>
              </w:rPr>
              <w:t>≥USD 350/t; base plan higher</w:t>
            </w:r>
          </w:p>
        </w:tc>
      </w:tr>
      <w:tr>
        <w:tc>
          <w:tcPr>
            <w:tcW w:type="dxa" w:w="2268"/>
            <w:shd w:fill="FFFFFF"/>
          </w:tcPr>
          <w:p>
            <w:pPr>
              <w:spacing w:after="0"/>
            </w:pPr>
            <w:r/>
            <w:r>
              <w:rPr>
                <w:rFonts w:ascii="Aptos" w:hAnsi="Aptos"/>
                <w:b w:val="0"/>
                <w:i w:val="0"/>
                <w:color w:val="1E252B"/>
                <w:sz w:val="16"/>
              </w:rPr>
              <w:t>Operations</w:t>
            </w:r>
          </w:p>
        </w:tc>
        <w:tc>
          <w:tcPr>
            <w:tcW w:type="dxa" w:w="3855"/>
            <w:shd w:fill="FFFFFF"/>
          </w:tcPr>
          <w:p>
            <w:pPr>
              <w:spacing w:after="0"/>
            </w:pPr>
            <w:r/>
            <w:r>
              <w:rPr>
                <w:rFonts w:ascii="Aptos" w:hAnsi="Aptos"/>
                <w:b w:val="0"/>
                <w:i w:val="0"/>
                <w:color w:val="1E252B"/>
                <w:sz w:val="16"/>
              </w:rPr>
              <w:t>Overall equipment effectiveness</w:t>
            </w:r>
          </w:p>
        </w:tc>
        <w:tc>
          <w:tcPr>
            <w:tcW w:type="dxa" w:w="3628"/>
            <w:shd w:fill="FFFFFF"/>
          </w:tcPr>
          <w:p>
            <w:pPr>
              <w:spacing w:after="0"/>
            </w:pPr>
            <w:r/>
            <w:r>
              <w:rPr>
                <w:rFonts w:ascii="Aptos" w:hAnsi="Aptos"/>
                <w:b w:val="0"/>
                <w:i w:val="0"/>
                <w:color w:val="1E252B"/>
                <w:sz w:val="16"/>
              </w:rPr>
              <w:t>≥80%</w:t>
            </w:r>
          </w:p>
        </w:tc>
      </w:tr>
      <w:tr>
        <w:tc>
          <w:tcPr>
            <w:tcW w:type="dxa" w:w="2268"/>
            <w:shd w:fill="F3F6F8"/>
          </w:tcPr>
          <w:p>
            <w:pPr>
              <w:spacing w:after="0"/>
            </w:pPr>
            <w:r/>
            <w:r>
              <w:rPr>
                <w:rFonts w:ascii="Aptos" w:hAnsi="Aptos"/>
                <w:b w:val="0"/>
                <w:i w:val="0"/>
                <w:color w:val="1E252B"/>
                <w:sz w:val="16"/>
              </w:rPr>
              <w:t>Quality</w:t>
            </w:r>
          </w:p>
        </w:tc>
        <w:tc>
          <w:tcPr>
            <w:tcW w:type="dxa" w:w="3855"/>
            <w:shd w:fill="F3F6F8"/>
          </w:tcPr>
          <w:p>
            <w:pPr>
              <w:spacing w:after="0"/>
            </w:pPr>
            <w:r/>
            <w:r>
              <w:rPr>
                <w:rFonts w:ascii="Aptos" w:hAnsi="Aptos"/>
                <w:b w:val="0"/>
                <w:i w:val="0"/>
                <w:color w:val="1E252B"/>
                <w:sz w:val="16"/>
              </w:rPr>
              <w:t>First-pass release</w:t>
            </w:r>
          </w:p>
        </w:tc>
        <w:tc>
          <w:tcPr>
            <w:tcW w:type="dxa" w:w="3628"/>
            <w:shd w:fill="F3F6F8"/>
          </w:tcPr>
          <w:p>
            <w:pPr>
              <w:spacing w:after="0"/>
            </w:pPr>
            <w:r/>
            <w:r>
              <w:rPr>
                <w:rFonts w:ascii="Aptos" w:hAnsi="Aptos"/>
                <w:b w:val="0"/>
                <w:i w:val="0"/>
                <w:color w:val="1E252B"/>
                <w:sz w:val="16"/>
              </w:rPr>
              <w:t>≥98%</w:t>
            </w:r>
          </w:p>
        </w:tc>
      </w:tr>
      <w:tr>
        <w:tc>
          <w:tcPr>
            <w:tcW w:type="dxa" w:w="2268"/>
            <w:shd w:fill="FFFFFF"/>
          </w:tcPr>
          <w:p>
            <w:pPr>
              <w:spacing w:after="0"/>
            </w:pPr>
            <w:r/>
            <w:r>
              <w:rPr>
                <w:rFonts w:ascii="Aptos" w:hAnsi="Aptos"/>
                <w:b w:val="0"/>
                <w:i w:val="0"/>
                <w:color w:val="1E252B"/>
                <w:sz w:val="16"/>
              </w:rPr>
              <w:t>Quality</w:t>
            </w:r>
          </w:p>
        </w:tc>
        <w:tc>
          <w:tcPr>
            <w:tcW w:type="dxa" w:w="3855"/>
            <w:shd w:fill="FFFFFF"/>
          </w:tcPr>
          <w:p>
            <w:pPr>
              <w:spacing w:after="0"/>
            </w:pPr>
            <w:r/>
            <w:r>
              <w:rPr>
                <w:rFonts w:ascii="Aptos" w:hAnsi="Aptos"/>
                <w:b w:val="0"/>
                <w:i w:val="0"/>
                <w:color w:val="1E252B"/>
                <w:sz w:val="16"/>
              </w:rPr>
              <w:t>Complaints per 1,000 t</w:t>
            </w:r>
          </w:p>
        </w:tc>
        <w:tc>
          <w:tcPr>
            <w:tcW w:type="dxa" w:w="3628"/>
            <w:shd w:fill="FFFFFF"/>
          </w:tcPr>
          <w:p>
            <w:pPr>
              <w:spacing w:after="0"/>
            </w:pPr>
            <w:r/>
            <w:r>
              <w:rPr>
                <w:rFonts w:ascii="Aptos" w:hAnsi="Aptos"/>
                <w:b w:val="0"/>
                <w:i w:val="0"/>
                <w:color w:val="1E252B"/>
                <w:sz w:val="16"/>
              </w:rPr>
              <w:t>Declining trend; zero critical</w:t>
            </w:r>
          </w:p>
        </w:tc>
      </w:tr>
      <w:tr>
        <w:tc>
          <w:tcPr>
            <w:tcW w:type="dxa" w:w="2268"/>
            <w:shd w:fill="F3F6F8"/>
          </w:tcPr>
          <w:p>
            <w:pPr>
              <w:spacing w:after="0"/>
            </w:pPr>
            <w:r/>
            <w:r>
              <w:rPr>
                <w:rFonts w:ascii="Aptos" w:hAnsi="Aptos"/>
                <w:b w:val="0"/>
                <w:i w:val="0"/>
                <w:color w:val="1E252B"/>
                <w:sz w:val="16"/>
              </w:rPr>
              <w:t>Energy</w:t>
            </w:r>
          </w:p>
        </w:tc>
        <w:tc>
          <w:tcPr>
            <w:tcW w:type="dxa" w:w="3855"/>
            <w:shd w:fill="F3F6F8"/>
          </w:tcPr>
          <w:p>
            <w:pPr>
              <w:spacing w:after="0"/>
            </w:pPr>
            <w:r/>
            <w:r>
              <w:rPr>
                <w:rFonts w:ascii="Aptos" w:hAnsi="Aptos"/>
                <w:b w:val="0"/>
                <w:i w:val="0"/>
                <w:color w:val="1E252B"/>
                <w:sz w:val="16"/>
              </w:rPr>
              <w:t>kWh and GJ per ton</w:t>
            </w:r>
          </w:p>
        </w:tc>
        <w:tc>
          <w:tcPr>
            <w:tcW w:type="dxa" w:w="3628"/>
            <w:shd w:fill="F3F6F8"/>
          </w:tcPr>
          <w:p>
            <w:pPr>
              <w:spacing w:after="0"/>
            </w:pPr>
            <w:r/>
            <w:r>
              <w:rPr>
                <w:rFonts w:ascii="Aptos" w:hAnsi="Aptos"/>
                <w:b w:val="0"/>
                <w:i w:val="0"/>
                <w:color w:val="1E252B"/>
                <w:sz w:val="16"/>
              </w:rPr>
              <w:t>Supplier benchmark and annual improvement</w:t>
            </w:r>
          </w:p>
        </w:tc>
      </w:tr>
      <w:tr>
        <w:tc>
          <w:tcPr>
            <w:tcW w:type="dxa" w:w="2268"/>
            <w:shd w:fill="FFFFFF"/>
          </w:tcPr>
          <w:p>
            <w:pPr>
              <w:spacing w:after="0"/>
            </w:pPr>
            <w:r/>
            <w:r>
              <w:rPr>
                <w:rFonts w:ascii="Aptos" w:hAnsi="Aptos"/>
                <w:b w:val="0"/>
                <w:i w:val="0"/>
                <w:color w:val="1E252B"/>
                <w:sz w:val="16"/>
              </w:rPr>
              <w:t>Yield</w:t>
            </w:r>
          </w:p>
        </w:tc>
        <w:tc>
          <w:tcPr>
            <w:tcW w:type="dxa" w:w="3855"/>
            <w:shd w:fill="FFFFFF"/>
          </w:tcPr>
          <w:p>
            <w:pPr>
              <w:spacing w:after="0"/>
            </w:pPr>
            <w:r/>
            <w:r>
              <w:rPr>
                <w:rFonts w:ascii="Aptos" w:hAnsi="Aptos"/>
                <w:b w:val="0"/>
                <w:i w:val="0"/>
                <w:color w:val="1E252B"/>
                <w:sz w:val="16"/>
              </w:rPr>
              <w:t>Non-saleable mass loss</w:t>
            </w:r>
          </w:p>
        </w:tc>
        <w:tc>
          <w:tcPr>
            <w:tcW w:type="dxa" w:w="3628"/>
            <w:shd w:fill="FFFFFF"/>
          </w:tcPr>
          <w:p>
            <w:pPr>
              <w:spacing w:after="0"/>
            </w:pPr>
            <w:r/>
            <w:r>
              <w:rPr>
                <w:rFonts w:ascii="Aptos" w:hAnsi="Aptos"/>
                <w:b w:val="0"/>
                <w:i w:val="0"/>
                <w:color w:val="1E252B"/>
                <w:sz w:val="16"/>
              </w:rPr>
              <w:t>≤1.5%</w:t>
            </w:r>
          </w:p>
        </w:tc>
      </w:tr>
      <w:tr>
        <w:tc>
          <w:tcPr>
            <w:tcW w:type="dxa" w:w="2268"/>
            <w:shd w:fill="F3F6F8"/>
          </w:tcPr>
          <w:p>
            <w:pPr>
              <w:spacing w:after="0"/>
            </w:pPr>
            <w:r/>
            <w:r>
              <w:rPr>
                <w:rFonts w:ascii="Aptos" w:hAnsi="Aptos"/>
                <w:b w:val="0"/>
                <w:i w:val="0"/>
                <w:color w:val="1E252B"/>
                <w:sz w:val="16"/>
              </w:rPr>
              <w:t>Finance</w:t>
            </w:r>
          </w:p>
        </w:tc>
        <w:tc>
          <w:tcPr>
            <w:tcW w:type="dxa" w:w="3855"/>
            <w:shd w:fill="F3F6F8"/>
          </w:tcPr>
          <w:p>
            <w:pPr>
              <w:spacing w:after="0"/>
            </w:pPr>
            <w:r/>
            <w:r>
              <w:rPr>
                <w:rFonts w:ascii="Aptos" w:hAnsi="Aptos"/>
                <w:b w:val="0"/>
                <w:i w:val="0"/>
                <w:color w:val="1E252B"/>
                <w:sz w:val="16"/>
              </w:rPr>
              <w:t>Debt-service coverage ratio</w:t>
            </w:r>
          </w:p>
        </w:tc>
        <w:tc>
          <w:tcPr>
            <w:tcW w:type="dxa" w:w="3628"/>
            <w:shd w:fill="F3F6F8"/>
          </w:tcPr>
          <w:p>
            <w:pPr>
              <w:spacing w:after="0"/>
            </w:pPr>
            <w:r/>
            <w:r>
              <w:rPr>
                <w:rFonts w:ascii="Aptos" w:hAnsi="Aptos"/>
                <w:b w:val="0"/>
                <w:i w:val="0"/>
                <w:color w:val="1E252B"/>
                <w:sz w:val="16"/>
              </w:rPr>
              <w:t>≥1.35x</w:t>
            </w:r>
          </w:p>
        </w:tc>
      </w:tr>
      <w:tr>
        <w:tc>
          <w:tcPr>
            <w:tcW w:type="dxa" w:w="2268"/>
            <w:shd w:fill="FFFFFF"/>
          </w:tcPr>
          <w:p>
            <w:pPr>
              <w:spacing w:after="0"/>
            </w:pPr>
            <w:r/>
            <w:r>
              <w:rPr>
                <w:rFonts w:ascii="Aptos" w:hAnsi="Aptos"/>
                <w:b w:val="0"/>
                <w:i w:val="0"/>
                <w:color w:val="1E252B"/>
                <w:sz w:val="16"/>
              </w:rPr>
              <w:t>Working capital</w:t>
            </w:r>
          </w:p>
        </w:tc>
        <w:tc>
          <w:tcPr>
            <w:tcW w:type="dxa" w:w="3855"/>
            <w:shd w:fill="FFFFFF"/>
          </w:tcPr>
          <w:p>
            <w:pPr>
              <w:spacing w:after="0"/>
            </w:pPr>
            <w:r/>
            <w:r>
              <w:rPr>
                <w:rFonts w:ascii="Aptos" w:hAnsi="Aptos"/>
                <w:b w:val="0"/>
                <w:i w:val="0"/>
                <w:color w:val="1E252B"/>
                <w:sz w:val="16"/>
              </w:rPr>
              <w:t>Cash conversion cycle</w:t>
            </w:r>
          </w:p>
        </w:tc>
        <w:tc>
          <w:tcPr>
            <w:tcW w:type="dxa" w:w="3628"/>
            <w:shd w:fill="FFFFFF"/>
          </w:tcPr>
          <w:p>
            <w:pPr>
              <w:spacing w:after="0"/>
            </w:pPr>
            <w:r/>
            <w:r>
              <w:rPr>
                <w:rFonts w:ascii="Aptos" w:hAnsi="Aptos"/>
                <w:b w:val="0"/>
                <w:i w:val="0"/>
                <w:color w:val="1E252B"/>
                <w:sz w:val="16"/>
              </w:rPr>
              <w:t>≤60 days</w:t>
            </w:r>
          </w:p>
        </w:tc>
      </w:tr>
      <w:tr>
        <w:tc>
          <w:tcPr>
            <w:tcW w:type="dxa" w:w="2268"/>
            <w:shd w:fill="F3F6F8"/>
          </w:tcPr>
          <w:p>
            <w:pPr>
              <w:spacing w:after="0"/>
            </w:pPr>
            <w:r/>
            <w:r>
              <w:rPr>
                <w:rFonts w:ascii="Aptos" w:hAnsi="Aptos"/>
                <w:b w:val="0"/>
                <w:i w:val="0"/>
                <w:color w:val="1E252B"/>
                <w:sz w:val="16"/>
              </w:rPr>
              <w:t>Safety</w:t>
            </w:r>
          </w:p>
        </w:tc>
        <w:tc>
          <w:tcPr>
            <w:tcW w:type="dxa" w:w="3855"/>
            <w:shd w:fill="F3F6F8"/>
          </w:tcPr>
          <w:p>
            <w:pPr>
              <w:spacing w:after="0"/>
            </w:pPr>
            <w:r/>
            <w:r>
              <w:rPr>
                <w:rFonts w:ascii="Aptos" w:hAnsi="Aptos"/>
                <w:b w:val="0"/>
                <w:i w:val="0"/>
                <w:color w:val="1E252B"/>
                <w:sz w:val="16"/>
              </w:rPr>
              <w:t>Lost-time injuries</w:t>
            </w:r>
          </w:p>
        </w:tc>
        <w:tc>
          <w:tcPr>
            <w:tcW w:type="dxa" w:w="3628"/>
            <w:shd w:fill="F3F6F8"/>
          </w:tcPr>
          <w:p>
            <w:pPr>
              <w:spacing w:after="0"/>
            </w:pPr>
            <w:r/>
            <w:r>
              <w:rPr>
                <w:rFonts w:ascii="Aptos" w:hAnsi="Aptos"/>
                <w:b w:val="0"/>
                <w:i w:val="0"/>
                <w:color w:val="1E252B"/>
                <w:sz w:val="16"/>
              </w:rPr>
              <w:t>Zero</w:t>
            </w:r>
          </w:p>
        </w:tc>
      </w:tr>
    </w:tbl>
    <w:p/>
    <w:p>
      <w:r>
        <w:br w:type="page"/>
      </w:r>
    </w:p>
    <w:p>
      <w:pPr>
        <w:spacing w:after="60"/>
      </w:pPr>
      <w:r>
        <w:rPr>
          <w:rFonts w:ascii="Aptos" w:hAnsi="Aptos"/>
          <w:b/>
          <w:i w:val="0"/>
          <w:color w:val="C5A253"/>
          <w:sz w:val="17"/>
        </w:rPr>
        <w:t>PRE-FEASIBILITY OPINION</w:t>
      </w:r>
    </w:p>
    <w:p>
      <w:pPr>
        <w:spacing w:after="200"/>
      </w:pPr>
      <w:r>
        <w:rPr>
          <w:rFonts w:ascii="Aptos" w:hAnsi="Aptos"/>
          <w:b/>
          <w:i w:val="0"/>
          <w:color w:val="0B1F3A"/>
          <w:sz w:val="40"/>
        </w:rPr>
        <w:t>Final Conclusions and Recommendation</w:t>
      </w:r>
    </w:p>
    <w:p>
      <w:pPr>
        <w:spacing w:after="120" w:line="271" w:lineRule="auto"/>
        <w:jc w:val="both"/>
      </w:pPr>
      <w:r>
        <w:rPr>
          <w:rFonts w:ascii="Aptos" w:hAnsi="Aptos"/>
          <w:b w:val="0"/>
          <w:i w:val="0"/>
          <w:color w:val="1E252B"/>
          <w:sz w:val="20"/>
        </w:rPr>
        <w:t>The plant has a sound agro-industrial and technical basis, but viability does not follow automatically from Argentina’s soybean and corn abundance. It depends on transforming that advantage into differentiated products, contracted demand, stable operations, export-grade quality, and disciplined capital allocation.</w:t>
      </w:r>
    </w:p>
    <w:tbl>
      <w:tblPr>
        <w:tblW w:type="auto" w:w="0"/>
        <w:jc w:val="center"/>
        <w:tblLayout w:type="fixed"/>
        <w:tblLook w:firstColumn="1" w:firstRow="1" w:lastColumn="0" w:lastRow="0" w:noHBand="0" w:noVBand="1" w:val="04A0"/>
      </w:tblPr>
      <w:tblGrid>
        <w:gridCol w:w="4734"/>
        <w:gridCol w:w="4734"/>
      </w:tblGrid>
      <w:tr>
        <w:tc>
          <w:tcPr>
            <w:tcW w:type="dxa" w:w="2268"/>
            <w:shd w:fill="0B1F3A"/>
          </w:tcPr>
          <w:p>
            <w:pPr>
              <w:spacing w:after="0"/>
            </w:pPr>
            <w:r/>
            <w:r>
              <w:rPr>
                <w:rFonts w:ascii="Aptos" w:hAnsi="Aptos"/>
                <w:b/>
                <w:i w:val="0"/>
                <w:color w:val="FFFFFF"/>
                <w:sz w:val="16"/>
              </w:rPr>
              <w:t>Conclusion</w:t>
            </w:r>
          </w:p>
        </w:tc>
        <w:tc>
          <w:tcPr>
            <w:tcW w:type="dxa" w:w="7370"/>
            <w:shd w:fill="0B1F3A"/>
          </w:tcPr>
          <w:p>
            <w:pPr>
              <w:spacing w:after="0"/>
            </w:pPr>
            <w:r/>
            <w:r>
              <w:rPr>
                <w:rFonts w:ascii="Aptos" w:hAnsi="Aptos"/>
                <w:b/>
                <w:i w:val="0"/>
                <w:color w:val="FFFFFF"/>
                <w:sz w:val="16"/>
              </w:rPr>
              <w:t>Assessment</w:t>
            </w:r>
          </w:p>
        </w:tc>
      </w:tr>
      <w:tr>
        <w:tc>
          <w:tcPr>
            <w:tcW w:type="dxa" w:w="2268"/>
            <w:shd w:fill="FFFFFF"/>
          </w:tcPr>
          <w:p>
            <w:pPr>
              <w:spacing w:after="0"/>
            </w:pPr>
            <w:r/>
            <w:r>
              <w:rPr>
                <w:rFonts w:ascii="Aptos" w:hAnsi="Aptos"/>
                <w:b w:val="0"/>
                <w:i w:val="0"/>
                <w:color w:val="1E252B"/>
                <w:sz w:val="16"/>
              </w:rPr>
              <w:t>Market</w:t>
            </w:r>
          </w:p>
        </w:tc>
        <w:tc>
          <w:tcPr>
            <w:tcW w:type="dxa" w:w="7370"/>
            <w:shd w:fill="FFFFFF"/>
          </w:tcPr>
          <w:p>
            <w:pPr>
              <w:spacing w:after="0"/>
            </w:pPr>
            <w:r/>
            <w:r>
              <w:rPr>
                <w:rFonts w:ascii="Aptos" w:hAnsi="Aptos"/>
                <w:b w:val="0"/>
                <w:i w:val="0"/>
                <w:color w:val="1E252B"/>
                <w:sz w:val="16"/>
              </w:rPr>
              <w:t>Favorable but conditional; demand must be demonstrated by SKU and customer.</w:t>
            </w:r>
          </w:p>
        </w:tc>
      </w:tr>
      <w:tr>
        <w:tc>
          <w:tcPr>
            <w:tcW w:type="dxa" w:w="2268"/>
            <w:shd w:fill="F3F6F8"/>
          </w:tcPr>
          <w:p>
            <w:pPr>
              <w:spacing w:after="0"/>
            </w:pPr>
            <w:r/>
            <w:r>
              <w:rPr>
                <w:rFonts w:ascii="Aptos" w:hAnsi="Aptos"/>
                <w:b w:val="0"/>
                <w:i w:val="0"/>
                <w:color w:val="1E252B"/>
                <w:sz w:val="16"/>
              </w:rPr>
              <w:t>Technical</w:t>
            </w:r>
          </w:p>
        </w:tc>
        <w:tc>
          <w:tcPr>
            <w:tcW w:type="dxa" w:w="7370"/>
            <w:shd w:fill="F3F6F8"/>
          </w:tcPr>
          <w:p>
            <w:pPr>
              <w:spacing w:after="0"/>
            </w:pPr>
            <w:r/>
            <w:r>
              <w:rPr>
                <w:rFonts w:ascii="Aptos" w:hAnsi="Aptos"/>
                <w:b w:val="0"/>
                <w:i w:val="0"/>
                <w:color w:val="1E252B"/>
                <w:sz w:val="16"/>
              </w:rPr>
              <w:t>Feasible with available technology; requires human/animal segregation and pilot work.</w:t>
            </w:r>
          </w:p>
        </w:tc>
      </w:tr>
      <w:tr>
        <w:tc>
          <w:tcPr>
            <w:tcW w:type="dxa" w:w="2268"/>
            <w:shd w:fill="FFFFFF"/>
          </w:tcPr>
          <w:p>
            <w:pPr>
              <w:spacing w:after="0"/>
            </w:pPr>
            <w:r/>
            <w:r>
              <w:rPr>
                <w:rFonts w:ascii="Aptos" w:hAnsi="Aptos"/>
                <w:b w:val="0"/>
                <w:i w:val="0"/>
                <w:color w:val="1E252B"/>
                <w:sz w:val="16"/>
              </w:rPr>
              <w:t>Location</w:t>
            </w:r>
          </w:p>
        </w:tc>
        <w:tc>
          <w:tcPr>
            <w:tcW w:type="dxa" w:w="7370"/>
            <w:shd w:fill="FFFFFF"/>
          </w:tcPr>
          <w:p>
            <w:pPr>
              <w:spacing w:after="0"/>
            </w:pPr>
            <w:r/>
            <w:r>
              <w:rPr>
                <w:rFonts w:ascii="Aptos" w:hAnsi="Aptos"/>
                <w:b w:val="0"/>
                <w:i w:val="0"/>
                <w:color w:val="1E252B"/>
                <w:sz w:val="16"/>
              </w:rPr>
              <w:t>Greater Rosario leads; Córdoba second; Tucumán requires compensating advantage.</w:t>
            </w:r>
          </w:p>
        </w:tc>
      </w:tr>
      <w:tr>
        <w:tc>
          <w:tcPr>
            <w:tcW w:type="dxa" w:w="2268"/>
            <w:shd w:fill="F3F6F8"/>
          </w:tcPr>
          <w:p>
            <w:pPr>
              <w:spacing w:after="0"/>
            </w:pPr>
            <w:r/>
            <w:r>
              <w:rPr>
                <w:rFonts w:ascii="Aptos" w:hAnsi="Aptos"/>
                <w:b w:val="0"/>
                <w:i w:val="0"/>
                <w:color w:val="1E252B"/>
                <w:sz w:val="16"/>
              </w:rPr>
              <w:t>Financial</w:t>
            </w:r>
          </w:p>
        </w:tc>
        <w:tc>
          <w:tcPr>
            <w:tcW w:type="dxa" w:w="7370"/>
            <w:shd w:fill="F3F6F8"/>
          </w:tcPr>
          <w:p>
            <w:pPr>
              <w:spacing w:after="0"/>
            </w:pPr>
            <w:r/>
            <w:r>
              <w:rPr>
                <w:rFonts w:ascii="Aptos" w:hAnsi="Aptos"/>
                <w:b w:val="0"/>
                <w:i w:val="0"/>
                <w:color w:val="1E252B"/>
                <w:sz w:val="16"/>
              </w:rPr>
              <w:t>Attractive only with value-added mix and staged execution; commodity case is weak.</w:t>
            </w:r>
          </w:p>
        </w:tc>
      </w:tr>
      <w:tr>
        <w:tc>
          <w:tcPr>
            <w:tcW w:type="dxa" w:w="2268"/>
            <w:shd w:fill="FFFFFF"/>
          </w:tcPr>
          <w:p>
            <w:pPr>
              <w:spacing w:after="0"/>
            </w:pPr>
            <w:r/>
            <w:r>
              <w:rPr>
                <w:rFonts w:ascii="Aptos" w:hAnsi="Aptos"/>
                <w:b w:val="0"/>
                <w:i w:val="0"/>
                <w:color w:val="1E252B"/>
                <w:sz w:val="16"/>
              </w:rPr>
              <w:t>Execution</w:t>
            </w:r>
          </w:p>
        </w:tc>
        <w:tc>
          <w:tcPr>
            <w:tcW w:type="dxa" w:w="7370"/>
            <w:shd w:fill="FFFFFF"/>
          </w:tcPr>
          <w:p>
            <w:pPr>
              <w:spacing w:after="0"/>
            </w:pPr>
            <w:r/>
            <w:r>
              <w:rPr>
                <w:rFonts w:ascii="Aptos" w:hAnsi="Aptos"/>
                <w:b w:val="0"/>
                <w:i w:val="0"/>
                <w:color w:val="1E252B"/>
                <w:sz w:val="16"/>
              </w:rPr>
              <w:t>Do not build a private port; preserve capital for process, quality, and sales.</w:t>
            </w:r>
          </w:p>
        </w:tc>
      </w:tr>
      <w:tr>
        <w:tc>
          <w:tcPr>
            <w:tcW w:type="dxa" w:w="2268"/>
            <w:shd w:fill="F3F6F8"/>
          </w:tcPr>
          <w:p>
            <w:pPr>
              <w:spacing w:after="0"/>
            </w:pPr>
            <w:r/>
            <w:r>
              <w:rPr>
                <w:rFonts w:ascii="Aptos" w:hAnsi="Aptos"/>
                <w:b w:val="0"/>
                <w:i w:val="0"/>
                <w:color w:val="1E252B"/>
                <w:sz w:val="16"/>
              </w:rPr>
              <w:t>Decision</w:t>
            </w:r>
          </w:p>
        </w:tc>
        <w:tc>
          <w:tcPr>
            <w:tcW w:type="dxa" w:w="7370"/>
            <w:shd w:fill="F3F6F8"/>
          </w:tcPr>
          <w:p>
            <w:pPr>
              <w:spacing w:after="0"/>
            </w:pPr>
            <w:r/>
            <w:r>
              <w:rPr>
                <w:rFonts w:ascii="Aptos" w:hAnsi="Aptos"/>
                <w:b w:val="0"/>
                <w:i w:val="0"/>
                <w:color w:val="1E252B"/>
                <w:sz w:val="16"/>
              </w:rPr>
              <w:t>Conditional GO for advanced pre-feasibility; NO-GO today for full EPC commitment.</w:t>
            </w:r>
          </w:p>
        </w:tc>
      </w:tr>
    </w:tbl>
    <w:p/>
    <w:tbl>
      <w:tblPr>
        <w:tblW w:type="auto" w:w="0"/>
        <w:tblLook w:firstColumn="1" w:firstRow="1" w:lastColumn="0" w:lastRow="0" w:noHBand="0" w:noVBand="1" w:val="04A0"/>
      </w:tblPr>
      <w:tblGrid>
        <w:gridCol w:w="9468"/>
      </w:tblGrid>
      <w:tr>
        <w:tc>
          <w:tcPr>
            <w:tcW w:type="dxa" w:w="9468"/>
            <w:shd w:fill="F7F3E8"/>
          </w:tcPr>
          <w:p>
            <w:r/>
            <w:r>
              <w:rPr>
                <w:rFonts w:ascii="Aptos" w:hAnsi="Aptos"/>
                <w:b/>
                <w:i w:val="0"/>
                <w:color w:val="C5A253"/>
                <w:sz w:val="20"/>
              </w:rPr>
              <w:t>NEXT BOARD DECISION</w:t>
              <w:br/>
            </w:r>
            <w:r>
              <w:rPr>
                <w:rFonts w:ascii="Aptos" w:hAnsi="Aptos"/>
                <w:b w:val="0"/>
                <w:i w:val="0"/>
                <w:color w:val="1E252B"/>
                <w:sz w:val="19"/>
              </w:rPr>
              <w:t>Authorize a limited 16-week validation program, shortlist three sites, run pilot trials, issue RFQs to three integrators, and secure letters of intent covering at least 18,000 metric tons per year.</w:t>
            </w:r>
          </w:p>
        </w:tc>
      </w:tr>
    </w:tbl>
    <w:p/>
    <w:p>
      <w:r>
        <w:br w:type="page"/>
      </w:r>
    </w:p>
    <w:p>
      <w:pPr>
        <w:spacing w:after="60"/>
      </w:pPr>
      <w:r>
        <w:rPr>
          <w:rFonts w:ascii="Aptos" w:hAnsi="Aptos"/>
          <w:b/>
          <w:i w:val="0"/>
          <w:color w:val="C5A253"/>
          <w:sz w:val="17"/>
        </w:rPr>
        <w:t>EXECUTIVE APPENDIX</w:t>
      </w:r>
    </w:p>
    <w:p>
      <w:pPr>
        <w:spacing w:after="200"/>
      </w:pPr>
      <w:r>
        <w:rPr>
          <w:rFonts w:ascii="Aptos" w:hAnsi="Aptos"/>
          <w:b/>
          <w:i w:val="0"/>
          <w:color w:val="0B1F3A"/>
          <w:sz w:val="40"/>
        </w:rPr>
        <w:t>Sixteen-Week Validation Plan</w:t>
      </w:r>
    </w:p>
    <w:tbl>
      <w:tblPr>
        <w:tblW w:type="auto" w:w="0"/>
        <w:jc w:val="center"/>
        <w:tblLayout w:type="fixed"/>
        <w:tblLook w:firstColumn="1" w:firstRow="1" w:lastColumn="0" w:lastRow="0" w:noHBand="0" w:noVBand="1" w:val="04A0"/>
      </w:tblPr>
      <w:tblGrid>
        <w:gridCol w:w="3156"/>
        <w:gridCol w:w="3156"/>
        <w:gridCol w:w="3156"/>
      </w:tblGrid>
      <w:tr>
        <w:tc>
          <w:tcPr>
            <w:tcW w:type="dxa" w:w="1531"/>
            <w:shd w:fill="0B1F3A"/>
          </w:tcPr>
          <w:p>
            <w:pPr>
              <w:spacing w:after="0"/>
            </w:pPr>
            <w:r/>
            <w:r>
              <w:rPr>
                <w:rFonts w:ascii="Aptos" w:hAnsi="Aptos"/>
                <w:b/>
                <w:i w:val="0"/>
                <w:color w:val="FFFFFF"/>
                <w:sz w:val="16"/>
              </w:rPr>
              <w:t>Weeks</w:t>
            </w:r>
          </w:p>
        </w:tc>
        <w:tc>
          <w:tcPr>
            <w:tcW w:type="dxa" w:w="2835"/>
            <w:shd w:fill="0B1F3A"/>
          </w:tcPr>
          <w:p>
            <w:pPr>
              <w:spacing w:after="0"/>
            </w:pPr>
            <w:r/>
            <w:r>
              <w:rPr>
                <w:rFonts w:ascii="Aptos" w:hAnsi="Aptos"/>
                <w:b/>
                <w:i w:val="0"/>
                <w:color w:val="FFFFFF"/>
                <w:sz w:val="16"/>
              </w:rPr>
              <w:t>Workstream</w:t>
            </w:r>
          </w:p>
        </w:tc>
        <w:tc>
          <w:tcPr>
            <w:tcW w:type="dxa" w:w="6180"/>
            <w:shd w:fill="0B1F3A"/>
          </w:tcPr>
          <w:p>
            <w:pPr>
              <w:spacing w:after="0"/>
            </w:pPr>
            <w:r/>
            <w:r>
              <w:rPr>
                <w:rFonts w:ascii="Aptos" w:hAnsi="Aptos"/>
                <w:b/>
                <w:i w:val="0"/>
                <w:color w:val="FFFFFF"/>
                <w:sz w:val="16"/>
              </w:rPr>
              <w:t>Output</w:t>
            </w:r>
          </w:p>
        </w:tc>
      </w:tr>
      <w:tr>
        <w:tc>
          <w:tcPr>
            <w:tcW w:type="dxa" w:w="1531"/>
            <w:shd w:fill="FFFFFF"/>
          </w:tcPr>
          <w:p>
            <w:pPr>
              <w:spacing w:after="0"/>
            </w:pPr>
            <w:r/>
            <w:r>
              <w:rPr>
                <w:rFonts w:ascii="Aptos" w:hAnsi="Aptos"/>
                <w:b w:val="0"/>
                <w:i w:val="0"/>
                <w:color w:val="1E252B"/>
                <w:sz w:val="16"/>
              </w:rPr>
              <w:t>1–2</w:t>
            </w:r>
          </w:p>
        </w:tc>
        <w:tc>
          <w:tcPr>
            <w:tcW w:type="dxa" w:w="2835"/>
            <w:shd w:fill="FFFFFF"/>
          </w:tcPr>
          <w:p>
            <w:pPr>
              <w:spacing w:after="0"/>
            </w:pPr>
            <w:r/>
            <w:r>
              <w:rPr>
                <w:rFonts w:ascii="Aptos" w:hAnsi="Aptos"/>
                <w:b w:val="0"/>
                <w:i w:val="0"/>
                <w:color w:val="1E252B"/>
                <w:sz w:val="16"/>
              </w:rPr>
              <w:t>Governance and product</w:t>
            </w:r>
          </w:p>
        </w:tc>
        <w:tc>
          <w:tcPr>
            <w:tcW w:type="dxa" w:w="6180"/>
            <w:shd w:fill="FFFFFF"/>
          </w:tcPr>
          <w:p>
            <w:pPr>
              <w:spacing w:after="0"/>
            </w:pPr>
            <w:r/>
            <w:r>
              <w:rPr>
                <w:rFonts w:ascii="Aptos" w:hAnsi="Aptos"/>
                <w:b w:val="0"/>
                <w:i w:val="0"/>
                <w:color w:val="1E252B"/>
                <w:sz w:val="16"/>
              </w:rPr>
              <w:t>Team, data room, 12 priority SKUs and specifications.</w:t>
            </w:r>
          </w:p>
        </w:tc>
      </w:tr>
      <w:tr>
        <w:tc>
          <w:tcPr>
            <w:tcW w:type="dxa" w:w="1531"/>
            <w:shd w:fill="F3F6F8"/>
          </w:tcPr>
          <w:p>
            <w:pPr>
              <w:spacing w:after="0"/>
            </w:pPr>
            <w:r/>
            <w:r>
              <w:rPr>
                <w:rFonts w:ascii="Aptos" w:hAnsi="Aptos"/>
                <w:b w:val="0"/>
                <w:i w:val="0"/>
                <w:color w:val="1E252B"/>
                <w:sz w:val="16"/>
              </w:rPr>
              <w:t>2–6</w:t>
            </w:r>
          </w:p>
        </w:tc>
        <w:tc>
          <w:tcPr>
            <w:tcW w:type="dxa" w:w="2835"/>
            <w:shd w:fill="F3F6F8"/>
          </w:tcPr>
          <w:p>
            <w:pPr>
              <w:spacing w:after="0"/>
            </w:pPr>
            <w:r/>
            <w:r>
              <w:rPr>
                <w:rFonts w:ascii="Aptos" w:hAnsi="Aptos"/>
                <w:b w:val="0"/>
                <w:i w:val="0"/>
                <w:color w:val="1E252B"/>
                <w:sz w:val="16"/>
              </w:rPr>
              <w:t>Market</w:t>
            </w:r>
          </w:p>
        </w:tc>
        <w:tc>
          <w:tcPr>
            <w:tcW w:type="dxa" w:w="6180"/>
            <w:shd w:fill="F3F6F8"/>
          </w:tcPr>
          <w:p>
            <w:pPr>
              <w:spacing w:after="0"/>
            </w:pPr>
            <w:r/>
            <w:r>
              <w:rPr>
                <w:rFonts w:ascii="Aptos" w:hAnsi="Aptos"/>
                <w:b w:val="0"/>
                <w:i w:val="0"/>
                <w:color w:val="1E252B"/>
                <w:sz w:val="16"/>
              </w:rPr>
              <w:t>40 interviews, customer map, net prices, LOIs.</w:t>
            </w:r>
          </w:p>
        </w:tc>
      </w:tr>
      <w:tr>
        <w:tc>
          <w:tcPr>
            <w:tcW w:type="dxa" w:w="1531"/>
            <w:shd w:fill="FFFFFF"/>
          </w:tcPr>
          <w:p>
            <w:pPr>
              <w:spacing w:after="0"/>
            </w:pPr>
            <w:r/>
            <w:r>
              <w:rPr>
                <w:rFonts w:ascii="Aptos" w:hAnsi="Aptos"/>
                <w:b w:val="0"/>
                <w:i w:val="0"/>
                <w:color w:val="1E252B"/>
                <w:sz w:val="16"/>
              </w:rPr>
              <w:t>2–8</w:t>
            </w:r>
          </w:p>
        </w:tc>
        <w:tc>
          <w:tcPr>
            <w:tcW w:type="dxa" w:w="2835"/>
            <w:shd w:fill="FFFFFF"/>
          </w:tcPr>
          <w:p>
            <w:pPr>
              <w:spacing w:after="0"/>
            </w:pPr>
            <w:r/>
            <w:r>
              <w:rPr>
                <w:rFonts w:ascii="Aptos" w:hAnsi="Aptos"/>
                <w:b w:val="0"/>
                <w:i w:val="0"/>
                <w:color w:val="1E252B"/>
                <w:sz w:val="16"/>
              </w:rPr>
              <w:t>Sites/utilities</w:t>
            </w:r>
          </w:p>
        </w:tc>
        <w:tc>
          <w:tcPr>
            <w:tcW w:type="dxa" w:w="6180"/>
            <w:shd w:fill="FFFFFF"/>
          </w:tcPr>
          <w:p>
            <w:pPr>
              <w:spacing w:after="0"/>
            </w:pPr>
            <w:r/>
            <w:r>
              <w:rPr>
                <w:rFonts w:ascii="Aptos" w:hAnsi="Aptos"/>
                <w:b w:val="0"/>
                <w:i w:val="0"/>
                <w:color w:val="1E252B"/>
                <w:sz w:val="16"/>
              </w:rPr>
              <w:t>Three sites per region; power, gas, water, logistics letters.</w:t>
            </w:r>
          </w:p>
        </w:tc>
      </w:tr>
      <w:tr>
        <w:tc>
          <w:tcPr>
            <w:tcW w:type="dxa" w:w="1531"/>
            <w:shd w:fill="F3F6F8"/>
          </w:tcPr>
          <w:p>
            <w:pPr>
              <w:spacing w:after="0"/>
            </w:pPr>
            <w:r/>
            <w:r>
              <w:rPr>
                <w:rFonts w:ascii="Aptos" w:hAnsi="Aptos"/>
                <w:b w:val="0"/>
                <w:i w:val="0"/>
                <w:color w:val="1E252B"/>
                <w:sz w:val="16"/>
              </w:rPr>
              <w:t>3–9</w:t>
            </w:r>
          </w:p>
        </w:tc>
        <w:tc>
          <w:tcPr>
            <w:tcW w:type="dxa" w:w="2835"/>
            <w:shd w:fill="F3F6F8"/>
          </w:tcPr>
          <w:p>
            <w:pPr>
              <w:spacing w:after="0"/>
            </w:pPr>
            <w:r/>
            <w:r>
              <w:rPr>
                <w:rFonts w:ascii="Aptos" w:hAnsi="Aptos"/>
                <w:b w:val="0"/>
                <w:i w:val="0"/>
                <w:color w:val="1E252B"/>
                <w:sz w:val="16"/>
              </w:rPr>
              <w:t>Pilot trials</w:t>
            </w:r>
          </w:p>
        </w:tc>
        <w:tc>
          <w:tcPr>
            <w:tcW w:type="dxa" w:w="6180"/>
            <w:shd w:fill="F3F6F8"/>
          </w:tcPr>
          <w:p>
            <w:pPr>
              <w:spacing w:after="0"/>
            </w:pPr>
            <w:r/>
            <w:r>
              <w:rPr>
                <w:rFonts w:ascii="Aptos" w:hAnsi="Aptos"/>
                <w:b w:val="0"/>
                <w:i w:val="0"/>
                <w:color w:val="1E252B"/>
                <w:sz w:val="16"/>
              </w:rPr>
              <w:t>Extrusion trials, yield, aw, texture, shelf-life plan.</w:t>
            </w:r>
          </w:p>
        </w:tc>
      </w:tr>
      <w:tr>
        <w:tc>
          <w:tcPr>
            <w:tcW w:type="dxa" w:w="1531"/>
            <w:shd w:fill="FFFFFF"/>
          </w:tcPr>
          <w:p>
            <w:pPr>
              <w:spacing w:after="0"/>
            </w:pPr>
            <w:r/>
            <w:r>
              <w:rPr>
                <w:rFonts w:ascii="Aptos" w:hAnsi="Aptos"/>
                <w:b w:val="0"/>
                <w:i w:val="0"/>
                <w:color w:val="1E252B"/>
                <w:sz w:val="16"/>
              </w:rPr>
              <w:t>5–11</w:t>
            </w:r>
          </w:p>
        </w:tc>
        <w:tc>
          <w:tcPr>
            <w:tcW w:type="dxa" w:w="2835"/>
            <w:shd w:fill="FFFFFF"/>
          </w:tcPr>
          <w:p>
            <w:pPr>
              <w:spacing w:after="0"/>
            </w:pPr>
            <w:r/>
            <w:r>
              <w:rPr>
                <w:rFonts w:ascii="Aptos" w:hAnsi="Aptos"/>
                <w:b w:val="0"/>
                <w:i w:val="0"/>
                <w:color w:val="1E252B"/>
                <w:sz w:val="16"/>
              </w:rPr>
              <w:t>Engineering</w:t>
            </w:r>
          </w:p>
        </w:tc>
        <w:tc>
          <w:tcPr>
            <w:tcW w:type="dxa" w:w="6180"/>
            <w:shd w:fill="FFFFFF"/>
          </w:tcPr>
          <w:p>
            <w:pPr>
              <w:spacing w:after="0"/>
            </w:pPr>
            <w:r/>
            <w:r>
              <w:rPr>
                <w:rFonts w:ascii="Aptos" w:hAnsi="Aptos"/>
                <w:b w:val="0"/>
                <w:i w:val="0"/>
                <w:color w:val="1E252B"/>
                <w:sz w:val="16"/>
              </w:rPr>
              <w:t>PFD, balances, layout, equipment, staffing.</w:t>
            </w:r>
          </w:p>
        </w:tc>
      </w:tr>
      <w:tr>
        <w:tc>
          <w:tcPr>
            <w:tcW w:type="dxa" w:w="1531"/>
            <w:shd w:fill="F3F6F8"/>
          </w:tcPr>
          <w:p>
            <w:pPr>
              <w:spacing w:after="0"/>
            </w:pPr>
            <w:r/>
            <w:r>
              <w:rPr>
                <w:rFonts w:ascii="Aptos" w:hAnsi="Aptos"/>
                <w:b w:val="0"/>
                <w:i w:val="0"/>
                <w:color w:val="1E252B"/>
                <w:sz w:val="16"/>
              </w:rPr>
              <w:t>7–12</w:t>
            </w:r>
          </w:p>
        </w:tc>
        <w:tc>
          <w:tcPr>
            <w:tcW w:type="dxa" w:w="2835"/>
            <w:shd w:fill="F3F6F8"/>
          </w:tcPr>
          <w:p>
            <w:pPr>
              <w:spacing w:after="0"/>
            </w:pPr>
            <w:r/>
            <w:r>
              <w:rPr>
                <w:rFonts w:ascii="Aptos" w:hAnsi="Aptos"/>
                <w:b w:val="0"/>
                <w:i w:val="0"/>
                <w:color w:val="1E252B"/>
                <w:sz w:val="16"/>
              </w:rPr>
              <w:t>Regulatory/EIA</w:t>
            </w:r>
          </w:p>
        </w:tc>
        <w:tc>
          <w:tcPr>
            <w:tcW w:type="dxa" w:w="6180"/>
            <w:shd w:fill="F3F6F8"/>
          </w:tcPr>
          <w:p>
            <w:pPr>
              <w:spacing w:after="0"/>
            </w:pPr>
            <w:r/>
            <w:r>
              <w:rPr>
                <w:rFonts w:ascii="Aptos" w:hAnsi="Aptos"/>
                <w:b w:val="0"/>
                <w:i w:val="0"/>
                <w:color w:val="1E252B"/>
                <w:sz w:val="16"/>
              </w:rPr>
              <w:t>ANMAT/SENASA path, categorization, permits.</w:t>
            </w:r>
          </w:p>
        </w:tc>
      </w:tr>
      <w:tr>
        <w:tc>
          <w:tcPr>
            <w:tcW w:type="dxa" w:w="1531"/>
            <w:shd w:fill="FFFFFF"/>
          </w:tcPr>
          <w:p>
            <w:pPr>
              <w:spacing w:after="0"/>
            </w:pPr>
            <w:r/>
            <w:r>
              <w:rPr>
                <w:rFonts w:ascii="Aptos" w:hAnsi="Aptos"/>
                <w:b w:val="0"/>
                <w:i w:val="0"/>
                <w:color w:val="1E252B"/>
                <w:sz w:val="16"/>
              </w:rPr>
              <w:t>8–14</w:t>
            </w:r>
          </w:p>
        </w:tc>
        <w:tc>
          <w:tcPr>
            <w:tcW w:type="dxa" w:w="2835"/>
            <w:shd w:fill="FFFFFF"/>
          </w:tcPr>
          <w:p>
            <w:pPr>
              <w:spacing w:after="0"/>
            </w:pPr>
            <w:r/>
            <w:r>
              <w:rPr>
                <w:rFonts w:ascii="Aptos" w:hAnsi="Aptos"/>
                <w:b w:val="0"/>
                <w:i w:val="0"/>
                <w:color w:val="1E252B"/>
                <w:sz w:val="16"/>
              </w:rPr>
              <w:t>RFQ/costing</w:t>
            </w:r>
          </w:p>
        </w:tc>
        <w:tc>
          <w:tcPr>
            <w:tcW w:type="dxa" w:w="6180"/>
            <w:shd w:fill="FFFFFF"/>
          </w:tcPr>
          <w:p>
            <w:pPr>
              <w:spacing w:after="0"/>
            </w:pPr>
            <w:r/>
            <w:r>
              <w:rPr>
                <w:rFonts w:ascii="Aptos" w:hAnsi="Aptos"/>
                <w:b w:val="0"/>
                <w:i w:val="0"/>
                <w:color w:val="1E252B"/>
                <w:sz w:val="16"/>
              </w:rPr>
              <w:t>Three major quotes, civil, utilities, logistics.</w:t>
            </w:r>
          </w:p>
        </w:tc>
      </w:tr>
      <w:tr>
        <w:tc>
          <w:tcPr>
            <w:tcW w:type="dxa" w:w="1531"/>
            <w:shd w:fill="F3F6F8"/>
          </w:tcPr>
          <w:p>
            <w:pPr>
              <w:spacing w:after="0"/>
            </w:pPr>
            <w:r/>
            <w:r>
              <w:rPr>
                <w:rFonts w:ascii="Aptos" w:hAnsi="Aptos"/>
                <w:b w:val="0"/>
                <w:i w:val="0"/>
                <w:color w:val="1E252B"/>
                <w:sz w:val="16"/>
              </w:rPr>
              <w:t>12–16</w:t>
            </w:r>
          </w:p>
        </w:tc>
        <w:tc>
          <w:tcPr>
            <w:tcW w:type="dxa" w:w="2835"/>
            <w:shd w:fill="F3F6F8"/>
          </w:tcPr>
          <w:p>
            <w:pPr>
              <w:spacing w:after="0"/>
            </w:pPr>
            <w:r/>
            <w:r>
              <w:rPr>
                <w:rFonts w:ascii="Aptos" w:hAnsi="Aptos"/>
                <w:b w:val="0"/>
                <w:i w:val="0"/>
                <w:color w:val="1E252B"/>
                <w:sz w:val="16"/>
              </w:rPr>
              <w:t>Model/decision</w:t>
            </w:r>
          </w:p>
        </w:tc>
        <w:tc>
          <w:tcPr>
            <w:tcW w:type="dxa" w:w="6180"/>
            <w:shd w:fill="F3F6F8"/>
          </w:tcPr>
          <w:p>
            <w:pPr>
              <w:spacing w:after="0"/>
            </w:pPr>
            <w:r/>
            <w:r>
              <w:rPr>
                <w:rFonts w:ascii="Aptos" w:hAnsi="Aptos"/>
                <w:b w:val="0"/>
                <w:i w:val="0"/>
                <w:color w:val="1E252B"/>
                <w:sz w:val="16"/>
              </w:rPr>
              <w:t>Preliminary bankable model, risks, recommendation.</w:t>
            </w:r>
          </w:p>
        </w:tc>
      </w:tr>
    </w:tbl>
    <w:p/>
    <w:p>
      <w:r>
        <w:br w:type="page"/>
      </w:r>
    </w:p>
    <w:p>
      <w:pPr>
        <w:spacing w:after="60"/>
      </w:pPr>
      <w:r>
        <w:rPr>
          <w:rFonts w:ascii="Aptos" w:hAnsi="Aptos"/>
          <w:b/>
          <w:i w:val="0"/>
          <w:color w:val="C5A253"/>
          <w:sz w:val="17"/>
        </w:rPr>
        <w:t>SEPTEMBER 2026</w:t>
      </w:r>
    </w:p>
    <w:p>
      <w:pPr>
        <w:spacing w:after="200"/>
      </w:pPr>
      <w:r>
        <w:rPr>
          <w:rFonts w:ascii="Aptos" w:hAnsi="Aptos"/>
          <w:b/>
          <w:i w:val="0"/>
          <w:color w:val="0B1F3A"/>
          <w:sz w:val="40"/>
        </w:rPr>
        <w:t>Selected Sources and References</w:t>
      </w:r>
    </w:p>
    <w:tbl>
      <w:tblPr>
        <w:tblW w:type="auto" w:w="0"/>
        <w:jc w:val="center"/>
        <w:tblLayout w:type="fixed"/>
        <w:tblLook w:firstColumn="1" w:firstRow="1" w:lastColumn="0" w:lastRow="0" w:noHBand="0" w:noVBand="1" w:val="04A0"/>
      </w:tblPr>
      <w:tblGrid>
        <w:gridCol w:w="4734"/>
        <w:gridCol w:w="4734"/>
      </w:tblGrid>
      <w:tr>
        <w:tc>
          <w:tcPr>
            <w:tcW w:type="dxa" w:w="2268"/>
            <w:shd w:fill="0B1F3A"/>
          </w:tcPr>
          <w:p>
            <w:pPr>
              <w:spacing w:after="0"/>
            </w:pPr>
            <w:r/>
            <w:r>
              <w:rPr>
                <w:rFonts w:ascii="Aptos" w:hAnsi="Aptos"/>
                <w:b/>
                <w:i w:val="0"/>
                <w:color w:val="FFFFFF"/>
                <w:sz w:val="16"/>
              </w:rPr>
              <w:t>Source</w:t>
            </w:r>
          </w:p>
        </w:tc>
        <w:tc>
          <w:tcPr>
            <w:tcW w:type="dxa" w:w="7710"/>
            <w:shd w:fill="0B1F3A"/>
          </w:tcPr>
          <w:p>
            <w:pPr>
              <w:spacing w:after="0"/>
            </w:pPr>
            <w:r/>
            <w:r>
              <w:rPr>
                <w:rFonts w:ascii="Aptos" w:hAnsi="Aptos"/>
                <w:b/>
                <w:i w:val="0"/>
                <w:color w:val="FFFFFF"/>
                <w:sz w:val="16"/>
              </w:rPr>
              <w:t>Reference</w:t>
            </w:r>
          </w:p>
        </w:tc>
      </w:tr>
      <w:tr>
        <w:tc>
          <w:tcPr>
            <w:tcW w:type="dxa" w:w="2268"/>
            <w:shd w:fill="FFFFFF"/>
          </w:tcPr>
          <w:p>
            <w:pPr>
              <w:spacing w:after="0"/>
            </w:pPr>
            <w:r/>
            <w:r>
              <w:rPr>
                <w:rFonts w:ascii="Aptos" w:hAnsi="Aptos"/>
                <w:b w:val="0"/>
                <w:i w:val="0"/>
                <w:color w:val="1E252B"/>
                <w:sz w:val="16"/>
              </w:rPr>
              <w:t>Base document</w:t>
            </w:r>
          </w:p>
        </w:tc>
        <w:tc>
          <w:tcPr>
            <w:tcW w:type="dxa" w:w="7710"/>
            <w:shd w:fill="FFFFFF"/>
          </w:tcPr>
          <w:p>
            <w:pPr>
              <w:spacing w:after="0"/>
            </w:pPr>
            <w:r/>
            <w:r>
              <w:rPr>
                <w:rFonts w:ascii="Aptos" w:hAnsi="Aptos"/>
                <w:b w:val="0"/>
                <w:i w:val="0"/>
                <w:color w:val="1E252B"/>
                <w:sz w:val="16"/>
              </w:rPr>
              <w:t>Ruperto G. Bravo Benavente, Extruded Balanced Feed Plant Project, July 9, 2020, 48 pages.</w:t>
            </w:r>
          </w:p>
        </w:tc>
      </w:tr>
      <w:tr>
        <w:tc>
          <w:tcPr>
            <w:tcW w:type="dxa" w:w="2268"/>
            <w:shd w:fill="F3F6F8"/>
          </w:tcPr>
          <w:p>
            <w:pPr>
              <w:spacing w:after="0"/>
            </w:pPr>
            <w:r/>
            <w:r>
              <w:rPr>
                <w:rFonts w:ascii="Aptos" w:hAnsi="Aptos"/>
                <w:b w:val="0"/>
                <w:i w:val="0"/>
                <w:color w:val="1E252B"/>
                <w:sz w:val="16"/>
              </w:rPr>
              <w:t>Global market</w:t>
            </w:r>
          </w:p>
        </w:tc>
        <w:tc>
          <w:tcPr>
            <w:tcW w:type="dxa" w:w="7710"/>
            <w:shd w:fill="F3F6F8"/>
          </w:tcPr>
          <w:p>
            <w:pPr>
              <w:spacing w:after="0"/>
            </w:pPr>
            <w:r/>
            <w:r>
              <w:rPr>
                <w:rFonts w:ascii="Aptos" w:hAnsi="Aptos"/>
                <w:b w:val="0"/>
                <w:i w:val="0"/>
                <w:color w:val="1E252B"/>
                <w:sz w:val="16"/>
              </w:rPr>
              <w:t>Alltech, 2026 Agri-Food Outlook, April 21, 2026. https://www.alltech.com/agri-food-outlook</w:t>
            </w:r>
          </w:p>
        </w:tc>
      </w:tr>
      <w:tr>
        <w:tc>
          <w:tcPr>
            <w:tcW w:type="dxa" w:w="2268"/>
            <w:shd w:fill="FFFFFF"/>
          </w:tcPr>
          <w:p>
            <w:pPr>
              <w:spacing w:after="0"/>
            </w:pPr>
            <w:r/>
            <w:r>
              <w:rPr>
                <w:rFonts w:ascii="Aptos" w:hAnsi="Aptos"/>
                <w:b w:val="0"/>
                <w:i w:val="0"/>
                <w:color w:val="1E252B"/>
                <w:sz w:val="16"/>
              </w:rPr>
              <w:t>Argentina crops</w:t>
            </w:r>
          </w:p>
        </w:tc>
        <w:tc>
          <w:tcPr>
            <w:tcW w:type="dxa" w:w="7710"/>
            <w:shd w:fill="FFFFFF"/>
          </w:tcPr>
          <w:p>
            <w:pPr>
              <w:spacing w:after="0"/>
            </w:pPr>
            <w:r/>
            <w:r>
              <w:rPr>
                <w:rFonts w:ascii="Aptos" w:hAnsi="Aptos"/>
                <w:b w:val="0"/>
                <w:i w:val="0"/>
                <w:color w:val="1E252B"/>
                <w:sz w:val="16"/>
              </w:rPr>
              <w:t>Buenos Aires Grain Exchange, Weekly Agricultural Outlook, accessed September 5, 2026. https://www.bolsadecereales.com/</w:t>
            </w:r>
          </w:p>
        </w:tc>
      </w:tr>
      <w:tr>
        <w:tc>
          <w:tcPr>
            <w:tcW w:type="dxa" w:w="2268"/>
            <w:shd w:fill="F3F6F8"/>
          </w:tcPr>
          <w:p>
            <w:pPr>
              <w:spacing w:after="0"/>
            </w:pPr>
            <w:r/>
            <w:r>
              <w:rPr>
                <w:rFonts w:ascii="Aptos" w:hAnsi="Aptos"/>
                <w:b w:val="0"/>
                <w:i w:val="0"/>
                <w:color w:val="1E252B"/>
                <w:sz w:val="16"/>
              </w:rPr>
              <w:t>Commodity prices</w:t>
            </w:r>
          </w:p>
        </w:tc>
        <w:tc>
          <w:tcPr>
            <w:tcW w:type="dxa" w:w="7710"/>
            <w:shd w:fill="F3F6F8"/>
          </w:tcPr>
          <w:p>
            <w:pPr>
              <w:spacing w:after="0"/>
            </w:pPr>
            <w:r/>
            <w:r>
              <w:rPr>
                <w:rFonts w:ascii="Aptos" w:hAnsi="Aptos"/>
                <w:b w:val="0"/>
                <w:i w:val="0"/>
                <w:color w:val="1E252B"/>
                <w:sz w:val="16"/>
              </w:rPr>
              <w:t>World Bank, Commodity Markets / Pink Sheet, September 2026. https://www.worldbank.org/en/research/commodity-markets</w:t>
            </w:r>
          </w:p>
        </w:tc>
      </w:tr>
      <w:tr>
        <w:tc>
          <w:tcPr>
            <w:tcW w:type="dxa" w:w="2268"/>
            <w:shd w:fill="FFFFFF"/>
          </w:tcPr>
          <w:p>
            <w:pPr>
              <w:spacing w:after="0"/>
            </w:pPr>
            <w:r/>
            <w:r>
              <w:rPr>
                <w:rFonts w:ascii="Aptos" w:hAnsi="Aptos"/>
                <w:b w:val="0"/>
                <w:i w:val="0"/>
                <w:color w:val="1E252B"/>
                <w:sz w:val="16"/>
              </w:rPr>
              <w:t>Macroeconomics</w:t>
            </w:r>
          </w:p>
        </w:tc>
        <w:tc>
          <w:tcPr>
            <w:tcW w:type="dxa" w:w="7710"/>
            <w:shd w:fill="FFFFFF"/>
          </w:tcPr>
          <w:p>
            <w:pPr>
              <w:spacing w:after="0"/>
            </w:pPr>
            <w:r/>
            <w:r>
              <w:rPr>
                <w:rFonts w:ascii="Aptos" w:hAnsi="Aptos"/>
                <w:b w:val="0"/>
                <w:i w:val="0"/>
                <w:color w:val="1E252B"/>
                <w:sz w:val="16"/>
              </w:rPr>
              <w:t>Central Bank of Argentina, Market Expectations Survey, August 2026. https://www.bcra.gob.ar/</w:t>
            </w:r>
          </w:p>
        </w:tc>
      </w:tr>
      <w:tr>
        <w:tc>
          <w:tcPr>
            <w:tcW w:type="dxa" w:w="2268"/>
            <w:shd w:fill="F3F6F8"/>
          </w:tcPr>
          <w:p>
            <w:pPr>
              <w:spacing w:after="0"/>
            </w:pPr>
            <w:r/>
            <w:r>
              <w:rPr>
                <w:rFonts w:ascii="Aptos" w:hAnsi="Aptos"/>
                <w:b w:val="0"/>
                <w:i w:val="0"/>
                <w:color w:val="1E252B"/>
                <w:sz w:val="16"/>
              </w:rPr>
              <w:t>Human food</w:t>
            </w:r>
          </w:p>
        </w:tc>
        <w:tc>
          <w:tcPr>
            <w:tcW w:type="dxa" w:w="7710"/>
            <w:shd w:fill="F3F6F8"/>
          </w:tcPr>
          <w:p>
            <w:pPr>
              <w:spacing w:after="0"/>
            </w:pPr>
            <w:r/>
            <w:r>
              <w:rPr>
                <w:rFonts w:ascii="Aptos" w:hAnsi="Aptos"/>
                <w:b w:val="0"/>
                <w:i w:val="0"/>
                <w:color w:val="1E252B"/>
                <w:sz w:val="16"/>
              </w:rPr>
              <w:t>ANMAT, Argentine Food Code. https://www.argentina.gob.ar/anmat/</w:t>
            </w:r>
          </w:p>
        </w:tc>
      </w:tr>
      <w:tr>
        <w:tc>
          <w:tcPr>
            <w:tcW w:type="dxa" w:w="2268"/>
            <w:shd w:fill="FFFFFF"/>
          </w:tcPr>
          <w:p>
            <w:pPr>
              <w:spacing w:after="0"/>
            </w:pPr>
            <w:r/>
            <w:r>
              <w:rPr>
                <w:rFonts w:ascii="Aptos" w:hAnsi="Aptos"/>
                <w:b w:val="0"/>
                <w:i w:val="0"/>
                <w:color w:val="1E252B"/>
                <w:sz w:val="16"/>
              </w:rPr>
              <w:t>Animal feed</w:t>
            </w:r>
          </w:p>
        </w:tc>
        <w:tc>
          <w:tcPr>
            <w:tcW w:type="dxa" w:w="7710"/>
            <w:shd w:fill="FFFFFF"/>
          </w:tcPr>
          <w:p>
            <w:pPr>
              <w:spacing w:after="0"/>
            </w:pPr>
            <w:r/>
            <w:r>
              <w:rPr>
                <w:rFonts w:ascii="Aptos" w:hAnsi="Aptos"/>
                <w:b w:val="0"/>
                <w:i w:val="0"/>
                <w:color w:val="1E252B"/>
                <w:sz w:val="16"/>
              </w:rPr>
              <w:t>SENASA, Animal Feed and Establishments. https://www.argentina.gob.ar/senasa/</w:t>
            </w:r>
          </w:p>
        </w:tc>
      </w:tr>
      <w:tr>
        <w:tc>
          <w:tcPr>
            <w:tcW w:type="dxa" w:w="2268"/>
            <w:shd w:fill="F3F6F8"/>
          </w:tcPr>
          <w:p>
            <w:pPr>
              <w:spacing w:after="0"/>
            </w:pPr>
            <w:r/>
            <w:r>
              <w:rPr>
                <w:rFonts w:ascii="Aptos" w:hAnsi="Aptos"/>
                <w:b w:val="0"/>
                <w:i w:val="0"/>
                <w:color w:val="1E252B"/>
                <w:sz w:val="16"/>
              </w:rPr>
              <w:t>Environment</w:t>
            </w:r>
          </w:p>
        </w:tc>
        <w:tc>
          <w:tcPr>
            <w:tcW w:type="dxa" w:w="7710"/>
            <w:shd w:fill="F3F6F8"/>
          </w:tcPr>
          <w:p>
            <w:pPr>
              <w:spacing w:after="0"/>
            </w:pPr>
            <w:r/>
            <w:r>
              <w:rPr>
                <w:rFonts w:ascii="Aptos" w:hAnsi="Aptos"/>
                <w:b w:val="0"/>
                <w:i w:val="0"/>
                <w:color w:val="1E252B"/>
                <w:sz w:val="16"/>
              </w:rPr>
              <w:t>Argentina General Environmental Law 25,675 and environmental assessment framework.</w:t>
            </w:r>
          </w:p>
        </w:tc>
      </w:tr>
      <w:tr>
        <w:tc>
          <w:tcPr>
            <w:tcW w:type="dxa" w:w="2268"/>
            <w:shd w:fill="FFFFFF"/>
          </w:tcPr>
          <w:p>
            <w:pPr>
              <w:spacing w:after="0"/>
            </w:pPr>
            <w:r/>
            <w:r>
              <w:rPr>
                <w:rFonts w:ascii="Aptos" w:hAnsi="Aptos"/>
                <w:b w:val="0"/>
                <w:i w:val="0"/>
                <w:color w:val="1E252B"/>
                <w:sz w:val="16"/>
              </w:rPr>
              <w:t>Technical support</w:t>
            </w:r>
          </w:p>
        </w:tc>
        <w:tc>
          <w:tcPr>
            <w:tcW w:type="dxa" w:w="7710"/>
            <w:shd w:fill="FFFFFF"/>
          </w:tcPr>
          <w:p>
            <w:pPr>
              <w:spacing w:after="0"/>
            </w:pPr>
            <w:r/>
            <w:r>
              <w:rPr>
                <w:rFonts w:ascii="Aptos" w:hAnsi="Aptos"/>
                <w:b w:val="0"/>
                <w:i w:val="0"/>
                <w:color w:val="1E252B"/>
                <w:sz w:val="16"/>
              </w:rPr>
              <w:t>INTI, Industrial Environment and By-product Recovery. https://www.argentina.gob.ar/inti/</w:t>
            </w:r>
          </w:p>
        </w:tc>
      </w:tr>
    </w:tbl>
    <w:p/>
    <w:p>
      <w:pPr>
        <w:spacing w:after="120" w:line="271" w:lineRule="auto"/>
        <w:jc w:val="both"/>
      </w:pPr>
      <w:r>
        <w:rPr>
          <w:rFonts w:ascii="Aptos" w:hAnsi="Aptos"/>
          <w:b w:val="0"/>
          <w:i w:val="0"/>
          <w:color w:val="1E252B"/>
          <w:sz w:val="17"/>
        </w:rPr>
        <w:t>Regulations, incentives, tariffs, and destination-market requirements must be reconfirmed at the investment date and for the selected jurisdiction. Commercial references do not replace supplier quotations or transaction-level customs data.</w:t>
      </w:r>
    </w:p>
    <w:p>
      <w:r>
        <w:br w:type="page"/>
      </w:r>
    </w:p>
    <w:p>
      <w:pPr>
        <w:spacing w:after="60"/>
      </w:pPr>
      <w:r>
        <w:rPr>
          <w:rFonts w:ascii="Aptos" w:hAnsi="Aptos"/>
          <w:b/>
          <w:i w:val="0"/>
          <w:color w:val="C5A253"/>
          <w:sz w:val="17"/>
        </w:rPr>
        <w:t>VISUAL APPENDIX</w:t>
      </w:r>
    </w:p>
    <w:p>
      <w:pPr>
        <w:spacing w:after="200"/>
      </w:pPr>
      <w:r>
        <w:rPr>
          <w:rFonts w:ascii="Aptos" w:hAnsi="Aptos"/>
          <w:b/>
          <w:i w:val="0"/>
          <w:color w:val="0B1F3A"/>
          <w:sz w:val="40"/>
        </w:rPr>
        <w:t>Conceptual Layout Infographic</w:t>
      </w:r>
    </w:p>
    <w:p>
      <w:pPr>
        <w:spacing w:after="120" w:line="271" w:lineRule="auto"/>
        <w:jc w:val="both"/>
      </w:pPr>
      <w:r>
        <w:rPr>
          <w:rFonts w:ascii="Aptos" w:hAnsi="Aptos"/>
          <w:b w:val="0"/>
          <w:i w:val="0"/>
          <w:color w:val="1E252B"/>
          <w:sz w:val="20"/>
        </w:rPr>
        <w:t>A separate A3 landscape English-language infographic accompanies this report. It depicts the one-way process from gate control and receiving through segregated human and animal extrusion lines, drying, coating, packaging, finished-goods storage, and dispatch.</w:t>
      </w:r>
    </w:p>
    <w:tbl>
      <w:tblPr>
        <w:tblW w:type="auto" w:w="0"/>
        <w:tblLook w:firstColumn="1" w:firstRow="1" w:lastColumn="0" w:lastRow="0" w:noHBand="0" w:noVBand="1" w:val="04A0"/>
      </w:tblPr>
      <w:tblGrid>
        <w:gridCol w:w="9468"/>
      </w:tblGrid>
      <w:tr>
        <w:tc>
          <w:tcPr>
            <w:tcW w:type="dxa" w:w="9468"/>
            <w:shd w:fill="F7F3E8"/>
          </w:tcPr>
          <w:p>
            <w:r/>
            <w:r>
              <w:rPr>
                <w:rFonts w:ascii="Aptos" w:hAnsi="Aptos"/>
                <w:b/>
                <w:i w:val="0"/>
                <w:color w:val="C5A253"/>
                <w:sz w:val="20"/>
              </w:rPr>
              <w:t>ENGINEERING NOTE</w:t>
              <w:br/>
            </w:r>
            <w:r>
              <w:rPr>
                <w:rFonts w:ascii="Aptos" w:hAnsi="Aptos"/>
                <w:b w:val="0"/>
                <w:i w:val="0"/>
                <w:color w:val="1E252B"/>
                <w:sz w:val="19"/>
              </w:rPr>
              <w:t>Final arrangement requires topography, prevailing winds, traffic analysis, combustible-dust hazard analysis, fire engineering, hygienic routes, expansion logic, mass and energy balances, and authority requirements.</w:t>
            </w:r>
          </w:p>
        </w:tc>
      </w:tr>
    </w:tbl>
    <w:p/>
    <w:sectPr w:rsidR="00FC693F" w:rsidRPr="0006063C" w:rsidSect="00034616">
      <w:headerReference w:type="default" r:id="rId9"/>
      <w:footerReference w:type="default" r:id="rId10"/>
      <w:pgSz w:w="11906" w:h="16838"/>
      <w:pgMar w:top="1077" w:right="1219" w:bottom="1020" w:left="1219"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5B6670"/>
        <w:sz w:val="15"/>
      </w:rPr>
      <w:t>R.B.B.  •  Confidential investment assessment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5B6670"/>
        <w:sz w:val="15"/>
      </w:rPr>
      <w:t>LABORATORY OF THE WORLD FOODS &amp; NUTRITION S.A. | 2026 PRE-FEASIBILITY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1"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0B1F3A"/>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244C66"/>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C5A253"/>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0B1F3A"/>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Extruded Balanced Protein Foods Plant - 2026 Pre-Feasibility</dc:title>
  <dc:subject>US English edition</dc:subject>
  <dc:creator>Ruperto Bravo Benavente</dc:creator>
  <cp:keywords/>
  <dc:description>generated by python-docx</dc:description>
  <cp:lastModifiedBy/>
  <cp:revision>1</cp:revision>
  <dcterms:created xsi:type="dcterms:W3CDTF">2013-12-23T23:15:00Z</dcterms:created>
  <dcterms:modified xsi:type="dcterms:W3CDTF">2013-12-23T23:15:00Z</dcterms:modified>
  <cp:category/>
</cp:coreProperties>
</file>